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olors1.xml" ContentType="application/vnd.ms-office.chartcolorstyle+xml"/>
  <Override PartName="/word/charts/style1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/>
          <w:sz w:val="24"/>
        </w:rPr>
      </w:pPr>
    </w:p>
    <w:p>
      <w:pPr>
        <w:spacing w:beforeLines="0" w:afterLines="0"/>
        <w:jc w:val="left"/>
        <w:rPr>
          <w:rFonts w:hint="default"/>
          <w:sz w:val="24"/>
        </w:rPr>
      </w:pPr>
    </w:p>
    <w:p>
      <w:pPr>
        <w:spacing w:beforeLines="0" w:afterLines="0"/>
        <w:jc w:val="left"/>
        <w:rPr>
          <w:rFonts w:hint="default" w:ascii="Times New Roman" w:hAnsi="Times New Roman" w:eastAsia="Times New Roman"/>
          <w:sz w:val="24"/>
        </w:rPr>
      </w:pPr>
      <w:r>
        <w:rPr>
          <w:rFonts w:hint="default"/>
          <w:sz w:val="24"/>
        </w:rPr>
        <w:drawing>
          <wp:inline distT="0" distB="0" distL="114300" distR="114300">
            <wp:extent cx="5972175" cy="4779645"/>
            <wp:effectExtent l="0" t="0" r="190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477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Lines="0" w:afterLines="0"/>
        <w:jc w:val="center"/>
        <w:rPr>
          <w:rFonts w:eastAsia="仿宋" w:cs="Times New Roman"/>
          <w:b w:val="0"/>
          <w:bCs w:val="0"/>
          <w:sz w:val="24"/>
          <w:szCs w:val="24"/>
        </w:rPr>
      </w:pPr>
      <w:r>
        <w:rPr>
          <w:rFonts w:hint="eastAsia" w:eastAsia="仿宋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eastAsia="仿宋" w:cs="Times New Roman"/>
          <w:b w:val="0"/>
          <w:bCs w:val="0"/>
          <w:sz w:val="24"/>
          <w:szCs w:val="24"/>
        </w:rPr>
        <w:t>Figure 1 Scree plot of items in the specific module of QLICD-</w:t>
      </w:r>
      <w:r>
        <w:rPr>
          <w:rFonts w:hint="eastAsia" w:eastAsia="仿宋" w:cs="Times New Roman"/>
          <w:b w:val="0"/>
          <w:bCs w:val="0"/>
          <w:sz w:val="24"/>
          <w:szCs w:val="24"/>
          <w:lang w:val="en-US" w:eastAsia="zh-CN"/>
        </w:rPr>
        <w:t>GO</w:t>
      </w:r>
      <w:r>
        <w:rPr>
          <w:rFonts w:eastAsia="仿宋" w:cs="Times New Roman"/>
          <w:b w:val="0"/>
          <w:bCs w:val="0"/>
          <w:sz w:val="24"/>
          <w:szCs w:val="24"/>
        </w:rPr>
        <w:t xml:space="preserve"> (V2.0)</w:t>
      </w:r>
    </w:p>
    <w:p>
      <w:pPr>
        <w:spacing w:beforeLines="0" w:afterLines="0"/>
        <w:jc w:val="center"/>
        <w:rPr>
          <w:rFonts w:hint="default" w:eastAsia="仿宋" w:cs="Times New Roman"/>
          <w:b w:val="0"/>
          <w:bCs w:val="0"/>
          <w:sz w:val="24"/>
          <w:szCs w:val="24"/>
        </w:rPr>
      </w:pPr>
      <w:bookmarkStart w:id="0" w:name="_GoBack"/>
      <w:bookmarkEnd w:id="0"/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</w:t>
      </w:r>
      <w:r>
        <w:drawing>
          <wp:inline distT="0" distB="0" distL="114300" distR="114300">
            <wp:extent cx="5968365" cy="3462020"/>
            <wp:effectExtent l="0" t="0" r="5715" b="12700"/>
            <wp:docPr id="3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>
      <w:pPr>
        <w:jc w:val="center"/>
        <w:rPr>
          <w:b w:val="0"/>
          <w:bCs w:val="0"/>
          <w:sz w:val="24"/>
          <w:szCs w:val="24"/>
          <w:lang w:eastAsia="zh-CN"/>
        </w:rPr>
      </w:pPr>
      <w:r>
        <w:rPr>
          <w:rFonts w:hint="eastAsia" w:eastAsia="仿宋" w:cs="Times New Roman"/>
          <w:b w:val="0"/>
          <w:bCs w:val="0"/>
          <w:sz w:val="24"/>
          <w:szCs w:val="24"/>
          <w:lang w:eastAsia="zh-CN"/>
        </w:rPr>
        <w:t>Figure 2 M</w:t>
      </w:r>
      <w:r>
        <w:rPr>
          <w:rFonts w:hint="eastAsia" w:eastAsia="仿宋" w:cs="Times New Roman"/>
          <w:b w:val="0"/>
          <w:bCs w:val="0"/>
          <w:sz w:val="24"/>
          <w:szCs w:val="24"/>
        </w:rPr>
        <w:t xml:space="preserve">ean </w:t>
      </w:r>
      <w:r>
        <w:rPr>
          <w:rFonts w:hint="eastAsia" w:eastAsia="仿宋" w:cs="Times New Roman"/>
          <w:b w:val="0"/>
          <w:bCs w:val="0"/>
          <w:sz w:val="24"/>
          <w:szCs w:val="24"/>
          <w:lang w:eastAsia="zh-CN"/>
        </w:rPr>
        <w:t>scores</w:t>
      </w:r>
      <w:r>
        <w:rPr>
          <w:rFonts w:hint="eastAsia" w:eastAsia="仿宋" w:cs="Times New Roman"/>
          <w:b w:val="0"/>
          <w:bCs w:val="0"/>
          <w:sz w:val="24"/>
          <w:szCs w:val="24"/>
        </w:rPr>
        <w:t xml:space="preserve"> in five </w:t>
      </w:r>
      <w:r>
        <w:rPr>
          <w:rFonts w:hint="eastAsia" w:eastAsia="仿宋" w:cs="Times New Roman"/>
          <w:b w:val="0"/>
          <w:bCs w:val="0"/>
          <w:sz w:val="24"/>
          <w:szCs w:val="24"/>
          <w:lang w:eastAsia="zh-CN"/>
        </w:rPr>
        <w:t>domains</w:t>
      </w:r>
      <w:r>
        <w:rPr>
          <w:rFonts w:hint="eastAsia" w:eastAsia="仿宋" w:cs="Times New Roman"/>
          <w:b w:val="0"/>
          <w:bCs w:val="0"/>
          <w:sz w:val="24"/>
          <w:szCs w:val="24"/>
        </w:rPr>
        <w:t xml:space="preserve"> </w:t>
      </w:r>
      <w:r>
        <w:rPr>
          <w:rFonts w:eastAsia="仿宋" w:cs="Times New Roman"/>
          <w:b w:val="0"/>
          <w:bCs w:val="0"/>
          <w:sz w:val="24"/>
          <w:szCs w:val="24"/>
        </w:rPr>
        <w:t>of QLICD-</w:t>
      </w:r>
      <w:r>
        <w:rPr>
          <w:rFonts w:hint="eastAsia" w:eastAsia="仿宋" w:cs="Times New Roman"/>
          <w:b w:val="0"/>
          <w:bCs w:val="0"/>
          <w:sz w:val="24"/>
          <w:szCs w:val="24"/>
          <w:lang w:val="en-US" w:eastAsia="zh-CN"/>
        </w:rPr>
        <w:t>GO</w:t>
      </w:r>
      <w:r>
        <w:rPr>
          <w:rFonts w:hint="eastAsia" w:eastAsia="仿宋" w:cs="Times New Roman"/>
          <w:b w:val="0"/>
          <w:bCs w:val="0"/>
          <w:sz w:val="24"/>
          <w:szCs w:val="24"/>
          <w:lang w:eastAsia="zh-CN"/>
        </w:rPr>
        <w:t xml:space="preserve"> (V2.0)</w:t>
      </w:r>
      <w:r>
        <w:rPr>
          <w:rFonts w:hint="eastAsia" w:eastAsia="仿宋" w:cs="Times New Roman"/>
          <w:b w:val="0"/>
          <w:bCs w:val="0"/>
          <w:sz w:val="24"/>
          <w:szCs w:val="24"/>
          <w:lang w:eastAsia="zh-CN"/>
        </w:rPr>
        <w:t xml:space="preserve"> pre- and posttreatment</w:t>
      </w:r>
    </w:p>
    <w:p>
      <w:pPr>
        <w:jc w:val="center"/>
      </w:pPr>
    </w:p>
    <w:sectPr>
      <w:pgSz w:w="12242" w:h="15842"/>
      <w:pgMar w:top="1417" w:right="1417" w:bottom="1417" w:left="141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5750C93"/>
    <w:rsid w:val="52ED5691"/>
    <w:rsid w:val="55E74E19"/>
    <w:rsid w:val="5F980C58"/>
    <w:rsid w:val="62C01CF3"/>
    <w:rsid w:val="689056EB"/>
    <w:rsid w:val="6D98595F"/>
    <w:rsid w:val="741902E2"/>
    <w:rsid w:val="79291E7F"/>
    <w:rsid w:val="79A7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chart" Target="charts/chart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[Book1]Sheet1!$B$1</c:f>
              <c:strCache>
                <c:ptCount val="1"/>
                <c:pt idx="0">
                  <c:v>Pretreatment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[Book1]Sheet1!$A$2:$A$6</c:f>
              <c:strCache>
                <c:ptCount val="5"/>
                <c:pt idx="0">
                  <c:v>PHD</c:v>
                </c:pt>
                <c:pt idx="1">
                  <c:v>PSD</c:v>
                </c:pt>
                <c:pt idx="2">
                  <c:v>SOD</c:v>
                </c:pt>
                <c:pt idx="3">
                  <c:v>GED</c:v>
                </c:pt>
                <c:pt idx="4">
                  <c:v>SPD</c:v>
                </c:pt>
              </c:strCache>
            </c:strRef>
          </c:cat>
          <c:val>
            <c:numRef>
              <c:f>[Book1]Sheet1!$B$2:$B$6</c:f>
              <c:numCache>
                <c:formatCode>General</c:formatCode>
                <c:ptCount val="5"/>
                <c:pt idx="0">
                  <c:v>55.41</c:v>
                </c:pt>
                <c:pt idx="1">
                  <c:v>61.79</c:v>
                </c:pt>
                <c:pt idx="2">
                  <c:v>75.54</c:v>
                </c:pt>
                <c:pt idx="3">
                  <c:v>63.38</c:v>
                </c:pt>
                <c:pt idx="4">
                  <c:v>52.89</c:v>
                </c:pt>
              </c:numCache>
            </c:numRef>
          </c:val>
        </c:ser>
        <c:ser>
          <c:idx val="1"/>
          <c:order val="1"/>
          <c:tx>
            <c:strRef>
              <c:f>[Book1]Sheet1!$C$1</c:f>
              <c:strCache>
                <c:ptCount val="1"/>
                <c:pt idx="0">
                  <c:v>Posttreatment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[Book1]Sheet1!$A$2:$A$6</c:f>
              <c:strCache>
                <c:ptCount val="5"/>
                <c:pt idx="0">
                  <c:v>PHD</c:v>
                </c:pt>
                <c:pt idx="1">
                  <c:v>PSD</c:v>
                </c:pt>
                <c:pt idx="2">
                  <c:v>SOD</c:v>
                </c:pt>
                <c:pt idx="3">
                  <c:v>GED</c:v>
                </c:pt>
                <c:pt idx="4">
                  <c:v>SPD</c:v>
                </c:pt>
              </c:strCache>
            </c:strRef>
          </c:cat>
          <c:val>
            <c:numRef>
              <c:f>[Book1]Sheet1!$C$2:$C$6</c:f>
              <c:numCache>
                <c:formatCode>General</c:formatCode>
                <c:ptCount val="5"/>
                <c:pt idx="0">
                  <c:v>71.92</c:v>
                </c:pt>
                <c:pt idx="1">
                  <c:v>68.03</c:v>
                </c:pt>
                <c:pt idx="2">
                  <c:v>78.29</c:v>
                </c:pt>
                <c:pt idx="3">
                  <c:v>72.2</c:v>
                </c:pt>
                <c:pt idx="4">
                  <c:v>64.62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0"/>
        <c:axId val="230303154"/>
        <c:axId val="293951978"/>
      </c:barChart>
      <c:catAx>
        <c:axId val="230303154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 sz="1400" b="1"/>
                  <a:t>Domains</a:t>
                </a:r>
                <a:endParaRPr lang="en-US" altLang="zh-CN" sz="1400" b="1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93951978"/>
        <c:crosses val="autoZero"/>
        <c:auto val="1"/>
        <c:lblAlgn val="ctr"/>
        <c:lblOffset val="100"/>
        <c:noMultiLvlLbl val="0"/>
      </c:catAx>
      <c:valAx>
        <c:axId val="29395197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 sz="1400" b="1"/>
                  <a:t>Mean</a:t>
                </a:r>
                <a:endParaRPr lang="en-US" altLang="zh-CN" sz="1400" b="1"/>
              </a:p>
            </c:rich>
          </c:tx>
          <c:layout>
            <c:manualLayout>
              <c:xMode val="edge"/>
              <c:yMode val="edge"/>
              <c:x val="0.0143824027072758"/>
              <c:y val="0.355186873290793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3030315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36165577342048"/>
          <c:y val="0.11437074829932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2020-02-20T02:53:00Z</dcterms:created>
  <dc:creator>piu</dc:creator>
  <cp:lastModifiedBy>piu</cp:lastModifiedBy>
  <dcterms:modified xsi:type="dcterms:W3CDTF">2020-02-20T05:29:31Z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