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pacing w:after="156"/>
        <w:jc w:val="left"/>
        <w:rPr>
          <w:rFonts w:hint="eastAsia"/>
          <w:sz w:val="24"/>
          <w:szCs w:val="24"/>
        </w:rPr>
      </w:pPr>
      <w:bookmarkStart w:id="2" w:name="_GoBack"/>
      <w:bookmarkEnd w:id="2"/>
      <w:r>
        <w:rPr>
          <w:rFonts w:hint="eastAsia"/>
          <w:sz w:val="24"/>
          <w:szCs w:val="24"/>
        </w:rPr>
        <w:t>Development and assessment of the Quality of Life Instrument</w:t>
      </w:r>
      <w:r>
        <w:rPr>
          <w:rFonts w:hint="eastAsia"/>
          <w:sz w:val="24"/>
          <w:szCs w:val="24"/>
          <w:lang w:eastAsia="zh-CN"/>
        </w:rPr>
        <w:t>s</w:t>
      </w:r>
      <w:r>
        <w:rPr>
          <w:rFonts w:hint="eastAsia"/>
          <w:sz w:val="24"/>
          <w:szCs w:val="24"/>
        </w:rPr>
        <w:t xml:space="preserve"> for Chronic Diseases-Gout</w:t>
      </w:r>
      <w:r>
        <w:rPr>
          <w:rFonts w:hint="eastAsia"/>
          <w:sz w:val="24"/>
          <w:szCs w:val="24"/>
          <w:lang w:eastAsia="zh-CN"/>
        </w:rPr>
        <w:t>(</w:t>
      </w:r>
      <w:r>
        <w:rPr>
          <w:rFonts w:hint="eastAsia"/>
          <w:sz w:val="24"/>
          <w:szCs w:val="24"/>
        </w:rPr>
        <w:t>QLICD-</w:t>
      </w:r>
      <w:r>
        <w:rPr>
          <w:rFonts w:hint="eastAsia"/>
          <w:sz w:val="24"/>
          <w:szCs w:val="24"/>
          <w:lang w:val="en-US" w:eastAsia="zh-CN"/>
        </w:rPr>
        <w:t>GO</w:t>
      </w:r>
      <w:r>
        <w:rPr>
          <w:rFonts w:hint="eastAsia"/>
          <w:sz w:val="24"/>
          <w:szCs w:val="24"/>
        </w:rPr>
        <w:t>) (V2.0)</w:t>
      </w:r>
    </w:p>
    <w:p>
      <w:pPr>
        <w:pStyle w:val="27"/>
        <w:spacing w:after="156"/>
        <w:jc w:val="left"/>
        <w:rPr>
          <w:rFonts w:hint="eastAsia"/>
          <w:sz w:val="24"/>
          <w:szCs w:val="24"/>
          <w:lang w:eastAsia="zh-CN"/>
        </w:rPr>
      </w:pPr>
    </w:p>
    <w:p>
      <w:pPr>
        <w:pStyle w:val="27"/>
        <w:spacing w:after="156"/>
        <w:jc w:val="left"/>
        <w:rPr>
          <w:rFonts w:hint="eastAsia" w:cs="宋体"/>
          <w:sz w:val="24"/>
          <w:szCs w:val="24"/>
          <w:vertAlign w:val="superscript"/>
          <w:lang w:val="en-US" w:eastAsia="zh-CN"/>
        </w:rPr>
      </w:pPr>
      <w:r>
        <w:rPr>
          <w:rFonts w:hint="eastAsia" w:cs="宋体"/>
          <w:sz w:val="24"/>
          <w:szCs w:val="24"/>
          <w:lang w:val="en-US" w:eastAsia="zh-CN"/>
        </w:rPr>
        <w:t>Qiongling Liu</w:t>
      </w:r>
      <w:r>
        <w:rPr>
          <w:rFonts w:hint="eastAsia" w:cs="宋体"/>
          <w:sz w:val="24"/>
          <w:szCs w:val="24"/>
          <w:vertAlign w:val="superscript"/>
          <w:lang w:val="en-US" w:eastAsia="zh-CN"/>
        </w:rPr>
        <w:t>1#</w:t>
      </w:r>
      <w:r>
        <w:rPr>
          <w:rFonts w:hint="eastAsia" w:cs="宋体"/>
          <w:sz w:val="24"/>
          <w:szCs w:val="24"/>
          <w:lang w:val="en-US" w:eastAsia="zh-CN"/>
        </w:rPr>
        <w:t>, Xu Liu</w:t>
      </w:r>
      <w:r>
        <w:rPr>
          <w:rFonts w:hint="eastAsia" w:cs="宋体"/>
          <w:sz w:val="24"/>
          <w:szCs w:val="24"/>
          <w:vertAlign w:val="superscript"/>
          <w:lang w:val="en-US" w:eastAsia="zh-CN"/>
        </w:rPr>
        <w:t>2#</w:t>
      </w:r>
      <w:r>
        <w:rPr>
          <w:rFonts w:hint="eastAsia" w:cs="宋体"/>
          <w:sz w:val="24"/>
          <w:szCs w:val="24"/>
          <w:lang w:val="en-US" w:eastAsia="zh-CN"/>
        </w:rPr>
        <w:t>, Xiaohua Xie</w:t>
      </w:r>
      <w:r>
        <w:rPr>
          <w:rFonts w:hint="eastAsia" w:cs="宋体"/>
          <w:sz w:val="24"/>
          <w:szCs w:val="24"/>
          <w:vertAlign w:val="superscript"/>
          <w:lang w:val="en-US" w:eastAsia="zh-CN"/>
        </w:rPr>
        <w:t>3</w:t>
      </w:r>
      <w:r>
        <w:rPr>
          <w:rFonts w:hint="eastAsia" w:cs="宋体"/>
          <w:sz w:val="24"/>
          <w:szCs w:val="24"/>
          <w:lang w:val="en-US" w:eastAsia="zh-CN"/>
        </w:rPr>
        <w:t>, Chonghua Wan</w:t>
      </w:r>
      <w:r>
        <w:rPr>
          <w:rFonts w:hint="eastAsia" w:cs="宋体"/>
          <w:sz w:val="24"/>
          <w:szCs w:val="24"/>
          <w:vertAlign w:val="superscript"/>
          <w:lang w:val="en-US" w:eastAsia="zh-CN"/>
        </w:rPr>
        <w:t>4</w:t>
      </w:r>
      <w:r>
        <w:rPr>
          <w:rFonts w:hint="eastAsia" w:cs="宋体"/>
          <w:sz w:val="24"/>
          <w:szCs w:val="24"/>
          <w:lang w:val="en-US" w:eastAsia="zh-CN"/>
        </w:rPr>
        <w:t>, Xingshan Zhang</w:t>
      </w:r>
      <w:r>
        <w:rPr>
          <w:rFonts w:hint="eastAsia" w:cs="宋体"/>
          <w:sz w:val="24"/>
          <w:szCs w:val="24"/>
          <w:vertAlign w:val="superscript"/>
          <w:lang w:val="en-US" w:eastAsia="zh-CN"/>
        </w:rPr>
        <w:t>5</w:t>
      </w:r>
      <w:r>
        <w:rPr>
          <w:rFonts w:hint="eastAsia" w:cs="宋体"/>
          <w:sz w:val="24"/>
          <w:szCs w:val="24"/>
          <w:lang w:val="en-US" w:eastAsia="zh-CN"/>
        </w:rPr>
        <w:t>, Jiawei Rao</w:t>
      </w:r>
      <w:r>
        <w:rPr>
          <w:rFonts w:hint="eastAsia" w:cs="宋体"/>
          <w:sz w:val="24"/>
          <w:szCs w:val="24"/>
          <w:vertAlign w:val="superscript"/>
          <w:lang w:val="en-US" w:eastAsia="zh-CN"/>
        </w:rPr>
        <w:t>5</w:t>
      </w:r>
      <w:r>
        <w:rPr>
          <w:rFonts w:hint="eastAsia" w:cs="宋体"/>
          <w:sz w:val="24"/>
          <w:szCs w:val="24"/>
          <w:lang w:val="en-US" w:eastAsia="zh-CN"/>
        </w:rPr>
        <w:t>, Xingjie Wang</w:t>
      </w:r>
      <w:r>
        <w:rPr>
          <w:rFonts w:hint="eastAsia" w:cs="宋体"/>
          <w:sz w:val="24"/>
          <w:szCs w:val="24"/>
          <w:vertAlign w:val="superscript"/>
          <w:lang w:val="en-US" w:eastAsia="zh-CN"/>
        </w:rPr>
        <w:t>5</w:t>
      </w:r>
      <w:r>
        <w:rPr>
          <w:rFonts w:hint="eastAsia" w:cs="宋体"/>
          <w:sz w:val="24"/>
          <w:szCs w:val="24"/>
          <w:lang w:val="en-US" w:eastAsia="zh-CN"/>
        </w:rPr>
        <w:t>, Haiyan Pan</w:t>
      </w:r>
      <w:r>
        <w:rPr>
          <w:rFonts w:hint="eastAsia" w:cs="宋体"/>
          <w:sz w:val="24"/>
          <w:szCs w:val="24"/>
          <w:vertAlign w:val="superscript"/>
          <w:lang w:val="en-US" w:eastAsia="zh-CN"/>
        </w:rPr>
        <w:t>5*</w:t>
      </w:r>
    </w:p>
    <w:p>
      <w:pPr>
        <w:pStyle w:val="27"/>
        <w:spacing w:after="156"/>
        <w:jc w:val="left"/>
        <w:rPr>
          <w:rFonts w:hint="default" w:cs="宋体"/>
          <w:sz w:val="24"/>
          <w:szCs w:val="24"/>
          <w:vertAlign w:val="superscript"/>
          <w:lang w:val="en-US" w:eastAsia="zh-CN"/>
        </w:rPr>
      </w:pPr>
    </w:p>
    <w:p>
      <w:pPr>
        <w:numPr>
          <w:ilvl w:val="0"/>
          <w:numId w:val="2"/>
        </w:numPr>
        <w:spacing w:after="240" w:line="240" w:lineRule="auto"/>
        <w:ind w:left="0" w:leftChars="0" w:firstLine="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School of Nursing, </w:t>
      </w:r>
      <w:r>
        <w:rPr>
          <w:rFonts w:hint="default" w:ascii="Times New Roman" w:hAnsi="Times New Roman" w:eastAsia="宋体" w:cs="Times New Roman"/>
          <w:sz w:val="24"/>
          <w:szCs w:val="24"/>
          <w:lang w:eastAsia="zh-CN"/>
        </w:rPr>
        <w:t xml:space="preserve">Guangdong Medical University, </w:t>
      </w:r>
      <w:r>
        <w:rPr>
          <w:rFonts w:hint="default" w:ascii="Times New Roman" w:hAnsi="Times New Roman" w:eastAsia="宋体" w:cs="Times New Roman"/>
          <w:sz w:val="24"/>
          <w:szCs w:val="24"/>
          <w:lang w:val="en-US" w:eastAsia="zh-CN"/>
        </w:rPr>
        <w:t>Dongguan</w:t>
      </w:r>
      <w:r>
        <w:rPr>
          <w:rFonts w:hint="default" w:ascii="Times New Roman" w:hAnsi="Times New Roman" w:eastAsia="宋体" w:cs="Times New Roman"/>
          <w:sz w:val="24"/>
          <w:szCs w:val="24"/>
          <w:lang w:eastAsia="zh-CN"/>
        </w:rPr>
        <w:t>, Guangdong Province, 523808, China</w:t>
      </w:r>
    </w:p>
    <w:p>
      <w:pPr>
        <w:numPr>
          <w:ilvl w:val="0"/>
          <w:numId w:val="2"/>
        </w:numPr>
        <w:spacing w:after="240" w:line="240" w:lineRule="auto"/>
        <w:ind w:left="0" w:leftChars="0" w:firstLine="0" w:firstLineChars="0"/>
        <w:jc w:val="both"/>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val="en-US" w:eastAsia="zh-CN"/>
        </w:rPr>
        <w:t>Qingdao West Coast New District People's Hospital, Qingdao, Shandong Province, 266000, China</w:t>
      </w:r>
    </w:p>
    <w:p>
      <w:pPr>
        <w:numPr>
          <w:ilvl w:val="0"/>
          <w:numId w:val="2"/>
        </w:numPr>
        <w:spacing w:after="240" w:line="240" w:lineRule="auto"/>
        <w:ind w:left="0" w:leftChars="0" w:firstLine="0" w:firstLineChars="0"/>
        <w:jc w:val="both"/>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Shenzhen Second People's Hospital</w:t>
      </w:r>
      <w:r>
        <w:rPr>
          <w:rFonts w:hint="default" w:ascii="Times New Roman" w:hAnsi="Times New Roman" w:eastAsia="宋体" w:cs="Times New Roman"/>
          <w:sz w:val="24"/>
          <w:szCs w:val="24"/>
          <w:lang w:val="en-US" w:eastAsia="zh-CN"/>
        </w:rPr>
        <w:t xml:space="preserve">, Shenzhen, </w:t>
      </w:r>
      <w:r>
        <w:rPr>
          <w:rFonts w:hint="default" w:ascii="Times New Roman" w:hAnsi="Times New Roman" w:eastAsia="宋体" w:cs="Times New Roman"/>
          <w:sz w:val="24"/>
          <w:szCs w:val="24"/>
          <w:lang w:eastAsia="zh-CN"/>
        </w:rPr>
        <w:t>Guangdong Province,</w:t>
      </w:r>
      <w:r>
        <w:rPr>
          <w:rFonts w:hint="default" w:ascii="Times New Roman" w:hAnsi="Times New Roman" w:eastAsia="宋体" w:cs="Times New Roman"/>
          <w:sz w:val="24"/>
          <w:szCs w:val="24"/>
          <w:lang w:val="en-US" w:eastAsia="zh-CN"/>
        </w:rPr>
        <w:t xml:space="preserve"> 518028, China</w:t>
      </w:r>
    </w:p>
    <w:p>
      <w:pPr>
        <w:numPr>
          <w:ilvl w:val="0"/>
          <w:numId w:val="0"/>
        </w:numPr>
        <w:spacing w:after="240" w:line="240" w:lineRule="auto"/>
        <w:jc w:val="both"/>
        <w:rPr>
          <w:rFonts w:hint="default" w:ascii="Times New Roman" w:hAnsi="Times New Roman" w:eastAsia="宋体" w:cs="Times New Roman"/>
          <w:b w:val="0"/>
          <w:kern w:val="2"/>
          <w:sz w:val="24"/>
          <w:szCs w:val="24"/>
          <w:lang w:val="en-US" w:eastAsia="zh-CN" w:bidi="ar-SA"/>
        </w:rPr>
      </w:pPr>
      <w:r>
        <w:rPr>
          <w:rFonts w:hint="default" w:ascii="Times New Roman" w:hAnsi="Times New Roman" w:eastAsia="宋体" w:cs="Times New Roman"/>
          <w:b w:val="0"/>
          <w:kern w:val="2"/>
          <w:sz w:val="24"/>
          <w:szCs w:val="24"/>
          <w:lang w:val="en-US" w:eastAsia="zh-CN" w:bidi="ar-SA"/>
        </w:rPr>
        <w:t xml:space="preserve">4.School of Humanities and </w:t>
      </w:r>
      <w:r>
        <w:rPr>
          <w:rFonts w:hint="default" w:ascii="Times New Roman" w:hAnsi="Times New Roman" w:cs="Times New Roman"/>
          <w:b w:val="0"/>
          <w:kern w:val="2"/>
          <w:sz w:val="24"/>
          <w:szCs w:val="24"/>
          <w:lang w:val="en-US" w:eastAsia="zh-CN" w:bidi="ar-SA"/>
        </w:rPr>
        <w:t>M</w:t>
      </w:r>
      <w:r>
        <w:rPr>
          <w:rFonts w:hint="default" w:ascii="Times New Roman" w:hAnsi="Times New Roman" w:eastAsia="宋体" w:cs="Times New Roman"/>
          <w:b w:val="0"/>
          <w:kern w:val="2"/>
          <w:sz w:val="24"/>
          <w:szCs w:val="24"/>
          <w:lang w:val="en-US" w:eastAsia="zh-CN" w:bidi="ar-SA"/>
        </w:rPr>
        <w:t>anagement</w:t>
      </w:r>
      <w:r>
        <w:rPr>
          <w:rFonts w:hint="default" w:ascii="Times New Roman" w:hAnsi="Times New Roman" w:cs="Times New Roman"/>
          <w:b w:val="0"/>
          <w:kern w:val="2"/>
          <w:sz w:val="24"/>
          <w:szCs w:val="24"/>
          <w:lang w:val="en-US" w:eastAsia="zh-CN" w:bidi="ar-SA"/>
        </w:rPr>
        <w:t xml:space="preserve">, </w:t>
      </w:r>
      <w:r>
        <w:rPr>
          <w:rFonts w:hint="default" w:ascii="Times New Roman" w:hAnsi="Times New Roman" w:eastAsia="宋体" w:cs="Times New Roman"/>
          <w:sz w:val="24"/>
          <w:szCs w:val="24"/>
          <w:lang w:eastAsia="zh-CN"/>
        </w:rPr>
        <w:t xml:space="preserve">Guangdong Medical University, </w:t>
      </w:r>
      <w:r>
        <w:rPr>
          <w:rFonts w:hint="default" w:ascii="Times New Roman" w:hAnsi="Times New Roman" w:eastAsia="宋体" w:cs="Times New Roman"/>
          <w:sz w:val="24"/>
          <w:szCs w:val="24"/>
          <w:lang w:val="en-US" w:eastAsia="zh-CN"/>
        </w:rPr>
        <w:t>Dongguan</w:t>
      </w:r>
      <w:r>
        <w:rPr>
          <w:rFonts w:hint="default" w:ascii="Times New Roman" w:hAnsi="Times New Roman" w:eastAsia="宋体" w:cs="Times New Roman"/>
          <w:sz w:val="24"/>
          <w:szCs w:val="24"/>
          <w:lang w:eastAsia="zh-CN"/>
        </w:rPr>
        <w:t>, Guangdong Province, 523808, China</w:t>
      </w:r>
    </w:p>
    <w:p>
      <w:pPr>
        <w:numPr>
          <w:ilvl w:val="0"/>
          <w:numId w:val="3"/>
        </w:numPr>
        <w:spacing w:after="240" w:line="24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 xml:space="preserve">School of Public Health, Guangdong Medical University, </w:t>
      </w:r>
      <w:r>
        <w:rPr>
          <w:rFonts w:hint="default" w:ascii="Times New Roman" w:hAnsi="Times New Roman" w:eastAsia="宋体" w:cs="Times New Roman"/>
          <w:sz w:val="24"/>
          <w:szCs w:val="24"/>
          <w:lang w:val="en-US" w:eastAsia="zh-CN"/>
        </w:rPr>
        <w:t>Dongguan</w:t>
      </w:r>
      <w:r>
        <w:rPr>
          <w:rFonts w:hint="default" w:ascii="Times New Roman" w:hAnsi="Times New Roman" w:eastAsia="宋体" w:cs="Times New Roman"/>
          <w:sz w:val="24"/>
          <w:szCs w:val="24"/>
          <w:lang w:eastAsia="zh-CN"/>
        </w:rPr>
        <w:t>, Guangdong Province, 523808, China</w:t>
      </w:r>
    </w:p>
    <w:p>
      <w:pPr>
        <w:spacing w:after="240" w:line="360" w:lineRule="auto"/>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vertAlign w:val="superscript"/>
          <w:lang w:val="en-US" w:eastAsia="zh-CN"/>
        </w:rPr>
        <w:t>#</w:t>
      </w:r>
      <w:r>
        <w:rPr>
          <w:rFonts w:hint="default" w:ascii="Times New Roman" w:hAnsi="Times New Roman" w:eastAsia="宋体" w:cs="Times New Roman"/>
          <w:sz w:val="24"/>
          <w:szCs w:val="24"/>
          <w:lang w:eastAsia="zh-CN"/>
        </w:rPr>
        <w:t>These authors contributed to the work equally and should be regarded as co-first author.</w:t>
      </w:r>
    </w:p>
    <w:p>
      <w:pPr>
        <w:spacing w:line="360" w:lineRule="auto"/>
        <w:ind w:right="36"/>
        <w:jc w:val="both"/>
        <w:rPr>
          <w:rFonts w:hint="default" w:ascii="Times New Roman" w:hAnsi="Times New Roman" w:eastAsia="宋体" w:cs="Times New Roman"/>
          <w:spacing w:val="10"/>
          <w:sz w:val="24"/>
          <w:szCs w:val="24"/>
        </w:rPr>
      </w:pPr>
      <w:r>
        <w:rPr>
          <w:rFonts w:hint="default" w:ascii="Times New Roman" w:hAnsi="Times New Roman" w:eastAsia="宋体" w:cs="Times New Roman"/>
          <w:spacing w:val="10"/>
          <w:sz w:val="24"/>
          <w:szCs w:val="24"/>
        </w:rPr>
        <w:t>__________</w:t>
      </w:r>
    </w:p>
    <w:p>
      <w:pPr>
        <w:spacing w:line="360" w:lineRule="auto"/>
        <w:ind w:right="36"/>
        <w:jc w:val="both"/>
        <w:rPr>
          <w:rFonts w:hint="default" w:ascii="Times New Roman" w:hAnsi="Times New Roman" w:eastAsia="宋体" w:cs="Times New Roman"/>
          <w:spacing w:val="10"/>
          <w:sz w:val="24"/>
          <w:szCs w:val="24"/>
        </w:rPr>
      </w:pPr>
    </w:p>
    <w:p>
      <w:pPr>
        <w:tabs>
          <w:tab w:val="center" w:pos="4153"/>
          <w:tab w:val="right" w:pos="8306"/>
        </w:tabs>
        <w:snapToGrid w:val="0"/>
        <w:spacing w:line="360" w:lineRule="auto"/>
        <w:rPr>
          <w:rFonts w:hint="eastAsia" w:ascii="Times New Roman" w:hAnsi="Times New Roman" w:cs="Times New Roman" w:eastAsiaTheme="minorEastAsia"/>
          <w:color w:val="auto"/>
          <w:spacing w:val="10"/>
          <w:sz w:val="24"/>
          <w:szCs w:val="24"/>
          <w:lang w:val="en-US" w:eastAsia="zh-CN"/>
        </w:rPr>
      </w:pPr>
      <w:r>
        <w:rPr>
          <w:rFonts w:hint="default" w:ascii="Times New Roman" w:hAnsi="Times New Roman" w:eastAsia="宋体" w:cs="Times New Roman"/>
          <w:color w:val="auto"/>
          <w:sz w:val="24"/>
          <w:szCs w:val="24"/>
        </w:rPr>
        <w:t>Grants:</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pacing w:val="10"/>
          <w:sz w:val="24"/>
          <w:szCs w:val="24"/>
        </w:rPr>
        <w:t xml:space="preserve">Supported by the National Natural Science Foundation of China (71373058, </w:t>
      </w:r>
      <w:r>
        <w:rPr>
          <w:rFonts w:hint="default" w:ascii="Times New Roman" w:hAnsi="Times New Roman" w:eastAsia="宋体" w:cs="Times New Roman"/>
          <w:bCs/>
          <w:color w:val="auto"/>
          <w:spacing w:val="10"/>
          <w:sz w:val="24"/>
          <w:szCs w:val="24"/>
        </w:rPr>
        <w:t>8140277,</w:t>
      </w:r>
      <w:r>
        <w:rPr>
          <w:rFonts w:hint="default" w:ascii="Times New Roman" w:hAnsi="Times New Roman" w:cs="Times New Roman"/>
          <w:color w:val="auto"/>
          <w:sz w:val="24"/>
          <w:szCs w:val="24"/>
        </w:rPr>
        <w:t xml:space="preserve"> </w:t>
      </w:r>
      <w:r>
        <w:rPr>
          <w:rFonts w:hint="default" w:ascii="Times New Roman" w:hAnsi="Times New Roman" w:eastAsia="宋体" w:cs="Times New Roman"/>
          <w:bCs/>
          <w:color w:val="auto"/>
          <w:spacing w:val="10"/>
          <w:sz w:val="24"/>
          <w:szCs w:val="24"/>
        </w:rPr>
        <w:t>30860248</w:t>
      </w:r>
      <w:r>
        <w:rPr>
          <w:rFonts w:hint="default" w:ascii="Times New Roman" w:hAnsi="Times New Roman" w:eastAsia="宋体" w:cs="Times New Roman"/>
          <w:color w:val="auto"/>
          <w:spacing w:val="10"/>
          <w:sz w:val="24"/>
          <w:szCs w:val="24"/>
        </w:rPr>
        <w:t>)</w:t>
      </w:r>
      <w:r>
        <w:rPr>
          <w:rFonts w:hint="eastAsia" w:ascii="Times New Roman" w:hAnsi="Times New Roman" w:eastAsia="宋体" w:cs="Times New Roman"/>
          <w:color w:val="auto"/>
          <w:spacing w:val="10"/>
          <w:sz w:val="24"/>
          <w:szCs w:val="24"/>
          <w:lang w:val="en-US" w:eastAsia="zh-CN"/>
        </w:rPr>
        <w:t xml:space="preserve">, </w:t>
      </w:r>
      <w:r>
        <w:rPr>
          <w:rFonts w:hint="default" w:ascii="Times New Roman" w:hAnsi="Times New Roman" w:cs="Times New Roman"/>
          <w:color w:val="auto"/>
          <w:sz w:val="24"/>
          <w:szCs w:val="24"/>
        </w:rPr>
        <w:t>Medical Science and Technology of Guangdong Province (B2019087), Young Innovative Talents Project of Guangdong Province (2018KQNCX096), Natural Science Foundation of Guangdong Province (2019A1515010875)</w:t>
      </w:r>
      <w:r>
        <w:rPr>
          <w:rFonts w:hint="eastAsia" w:ascii="Times New Roman" w:hAnsi="Times New Roman" w:cs="Times New Roman"/>
          <w:color w:val="auto"/>
          <w:sz w:val="24"/>
          <w:szCs w:val="24"/>
          <w:lang w:val="en-US" w:eastAsia="zh-CN"/>
        </w:rPr>
        <w:t>.</w:t>
      </w:r>
    </w:p>
    <w:p>
      <w:pPr>
        <w:spacing w:line="360" w:lineRule="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color w:val="auto"/>
          <w:spacing w:val="10"/>
          <w:sz w:val="24"/>
          <w:szCs w:val="24"/>
        </w:rPr>
        <w:t xml:space="preserve">*Correspondence to: </w:t>
      </w:r>
      <w:r>
        <w:rPr>
          <w:rFonts w:hint="default" w:ascii="Times New Roman" w:hAnsi="Times New Roman" w:eastAsia="宋体" w:cs="Times New Roman"/>
          <w:color w:val="auto"/>
          <w:spacing w:val="10"/>
          <w:sz w:val="24"/>
          <w:szCs w:val="24"/>
          <w:lang w:val="en-US" w:eastAsia="zh-CN"/>
        </w:rPr>
        <w:t>Haiyan Pan(</w:t>
      </w:r>
      <w:r>
        <w:rPr>
          <w:rFonts w:hint="eastAsia" w:ascii="Times New Roman" w:hAnsi="Times New Roman" w:eastAsia="宋体" w:cs="Times New Roman"/>
          <w:color w:val="auto"/>
          <w:spacing w:val="10"/>
          <w:sz w:val="24"/>
          <w:szCs w:val="24"/>
          <w:lang w:val="en-US" w:eastAsia="zh-CN"/>
        </w:rPr>
        <w:t>haiyan__pan@126.com</w:t>
      </w:r>
      <w:r>
        <w:rPr>
          <w:rFonts w:hint="default" w:ascii="Times New Roman" w:hAnsi="Times New Roman" w:eastAsia="宋体" w:cs="Times New Roman"/>
          <w:color w:val="auto"/>
          <w:spacing w:val="10"/>
          <w:sz w:val="24"/>
          <w:szCs w:val="24"/>
          <w:lang w:val="en-US" w:eastAsia="zh-CN"/>
        </w:rPr>
        <w:t>)</w:t>
      </w:r>
    </w:p>
    <w:p>
      <w:pPr>
        <w:pStyle w:val="27"/>
        <w:numPr>
          <w:ilvl w:val="0"/>
          <w:numId w:val="0"/>
        </w:numPr>
        <w:spacing w:after="156"/>
        <w:jc w:val="both"/>
        <w:rPr>
          <w:rFonts w:hint="eastAsia" w:cs="宋体"/>
          <w:szCs w:val="30"/>
          <w:lang w:eastAsia="zh-CN"/>
        </w:rPr>
      </w:pPr>
    </w:p>
    <w:p>
      <w:pPr>
        <w:pStyle w:val="27"/>
        <w:numPr>
          <w:ilvl w:val="0"/>
          <w:numId w:val="0"/>
        </w:numPr>
        <w:spacing w:after="156"/>
        <w:jc w:val="both"/>
        <w:rPr>
          <w:rFonts w:hint="eastAsia" w:cs="宋体"/>
          <w:szCs w:val="30"/>
          <w:lang w:eastAsia="zh-CN"/>
        </w:rPr>
      </w:pPr>
    </w:p>
    <w:p>
      <w:pPr>
        <w:pStyle w:val="27"/>
        <w:numPr>
          <w:ilvl w:val="0"/>
          <w:numId w:val="0"/>
        </w:numPr>
        <w:spacing w:after="156"/>
        <w:jc w:val="both"/>
        <w:rPr>
          <w:rFonts w:hint="eastAsia" w:cs="宋体"/>
          <w:szCs w:val="30"/>
          <w:lang w:eastAsia="zh-CN"/>
        </w:rPr>
      </w:pPr>
    </w:p>
    <w:p>
      <w:pPr>
        <w:pStyle w:val="37"/>
        <w:spacing w:after="156"/>
        <w:rPr>
          <w:b/>
        </w:rPr>
      </w:pPr>
      <w:r>
        <w:rPr>
          <w:b/>
        </w:rPr>
        <w:t>Abstract</w:t>
      </w:r>
    </w:p>
    <w:p>
      <w:pPr>
        <w:pStyle w:val="37"/>
        <w:spacing w:after="156"/>
      </w:pPr>
      <w:r>
        <w:rPr>
          <w:b/>
        </w:rPr>
        <w:t>Objective:</w:t>
      </w:r>
      <w:r>
        <w:t xml:space="preserve"> To develop and assess the Quality of Life Instruments for Chronic Diseases-Gout (QLICD-GO [V2.0]).</w:t>
      </w:r>
    </w:p>
    <w:p>
      <w:pPr>
        <w:pStyle w:val="37"/>
        <w:spacing w:after="156"/>
      </w:pPr>
      <w:r>
        <w:rPr>
          <w:b/>
        </w:rPr>
        <w:t>Methods:</w:t>
      </w:r>
      <w:r>
        <w:t xml:space="preserve"> The instrument was developed using a programmatic decision-making method to combine the general module of the Quality of Life Instruments for Chronic Diseases and a new specific module. The instrument was assessed by measuring the quality of life of 116 patients with gout. </w:t>
      </w:r>
    </w:p>
    <w:p>
      <w:pPr>
        <w:pStyle w:val="37"/>
        <w:spacing w:after="156"/>
      </w:pPr>
      <w:r>
        <w:rPr>
          <w:b/>
        </w:rPr>
        <w:t>Results:</w:t>
      </w:r>
      <w:r>
        <w:t xml:space="preserve"> The QLICD-GO (V2.0) included </w:t>
      </w: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8</w:t>
      </w:r>
      <w:r>
        <w:rPr>
          <w:color w:val="000000" w:themeColor="text1"/>
          <w14:textFill>
            <w14:solidFill>
              <w14:schemeClr w14:val="tx1"/>
            </w14:solidFill>
          </w14:textFill>
        </w:rPr>
        <w:t xml:space="preserve"> items from the general module of chronic diseases and 12 items in three facets from the specific module. </w:t>
      </w:r>
      <w:r>
        <w:rPr>
          <w:rFonts w:hint="eastAsia"/>
          <w:color w:val="000000" w:themeColor="text1"/>
          <w14:textFill>
            <w14:solidFill>
              <w14:schemeClr w14:val="tx1"/>
            </w14:solidFill>
          </w14:textFill>
        </w:rPr>
        <w:t xml:space="preserve">In addition to the field of physiological function, the internal consistency reliability of other fields and dimensions of the </w:t>
      </w:r>
      <w:r>
        <w:rPr>
          <w:color w:val="000000" w:themeColor="text1"/>
          <w14:textFill>
            <w14:solidFill>
              <w14:schemeClr w14:val="tx1"/>
            </w14:solidFill>
          </w14:textFill>
        </w:rPr>
        <w:t>instrument was &gt;0.7 and the split-half reliability was &gt;0.5</w:t>
      </w:r>
      <w:r>
        <w:rPr>
          <w:rFonts w:hint="eastAsia"/>
          <w:color w:val="000000" w:themeColor="text1"/>
          <w:lang w:val="en-US" w:eastAsia="zh-CN"/>
          <w14:textFill>
            <w14:solidFill>
              <w14:schemeClr w14:val="tx1"/>
            </w14:solidFill>
          </w14:textFill>
        </w:rPr>
        <w:t>.</w:t>
      </w:r>
      <w:r>
        <w:rPr>
          <w:color w:val="000000" w:themeColor="text1"/>
          <w14:textFill>
            <w14:solidFill>
              <w14:schemeClr w14:val="tx1"/>
            </w14:solidFill>
          </w14:textFill>
        </w:rPr>
        <w:t xml:space="preserve"> </w:t>
      </w:r>
      <w:r>
        <w:t xml:space="preserve">Three common factors were extracted from the specific module, with a </w:t>
      </w:r>
      <w:bookmarkStart w:id="0" w:name="_Hlk24360689"/>
      <w:r>
        <w:t>cumulative variance contribution rate</w:t>
      </w:r>
      <w:bookmarkEnd w:id="0"/>
      <w:r>
        <w:t xml:space="preserve"> of 57.54%. The standardized response means of the specific module and the whole instrument were 0.94 and 1.20, respectively. </w:t>
      </w:r>
    </w:p>
    <w:p>
      <w:pPr>
        <w:pStyle w:val="37"/>
        <w:spacing w:after="156"/>
        <w:rPr>
          <w:rStyle w:val="20"/>
          <w:color w:val="auto"/>
          <w:sz w:val="24"/>
          <w:szCs w:val="24"/>
          <w:u w:val="none"/>
        </w:rPr>
      </w:pPr>
      <w:r>
        <w:rPr>
          <w:b/>
        </w:rPr>
        <w:t>Conclusions:</w:t>
      </w:r>
      <w:r>
        <w:t xml:space="preserve"> The QLICD-GO (V2.0) has good reliability, validity, and responsiveness. The instrument comprehensively and objectively reflects the quality of life of patients with gout, and it can be used to assess treatment regimens developed by medical staff.</w:t>
      </w:r>
    </w:p>
    <w:p>
      <w:pPr>
        <w:pStyle w:val="37"/>
        <w:spacing w:after="156"/>
        <w:rPr>
          <w:rStyle w:val="20"/>
          <w:color w:val="auto"/>
          <w:sz w:val="24"/>
          <w:szCs w:val="24"/>
          <w:u w:val="none"/>
          <w:lang w:eastAsia="zh-CN"/>
        </w:rPr>
      </w:pPr>
      <w:r>
        <w:rPr>
          <w:rFonts w:hint="default" w:ascii="Times New Roman" w:hAnsi="Times New Roman" w:cs="Times New Roman"/>
          <w:b/>
        </w:rPr>
        <w:t>Keywords:</w:t>
      </w:r>
      <w:r>
        <w:rPr>
          <w:rFonts w:hint="default" w:ascii="Times New Roman" w:hAnsi="Times New Roman" w:cs="Times New Roman"/>
        </w:rPr>
        <w:t xml:space="preserve"> Gout; Quality of Life; Instrument; Reliability; Validity; Responsiveness</w:t>
      </w:r>
    </w:p>
    <w:p>
      <w:pPr>
        <w:pStyle w:val="37"/>
        <w:spacing w:after="156"/>
        <w:rPr>
          <w:rStyle w:val="20"/>
          <w:color w:val="auto"/>
          <w:sz w:val="24"/>
          <w:szCs w:val="24"/>
          <w:u w:val="none"/>
          <w:lang w:eastAsia="zh-CN"/>
        </w:rPr>
      </w:pPr>
    </w:p>
    <w:p>
      <w:pPr>
        <w:pStyle w:val="37"/>
        <w:spacing w:after="156"/>
        <w:rPr>
          <w:rStyle w:val="20"/>
          <w:color w:val="auto"/>
          <w:sz w:val="24"/>
          <w:szCs w:val="24"/>
          <w:u w:val="none"/>
          <w:lang w:eastAsia="zh-CN"/>
        </w:rPr>
      </w:pPr>
    </w:p>
    <w:p>
      <w:pPr>
        <w:pStyle w:val="37"/>
        <w:spacing w:after="156"/>
        <w:rPr>
          <w:rFonts w:ascii="宋体" w:hAnsi="宋体" w:cs="宋体"/>
          <w:kern w:val="0"/>
          <w:szCs w:val="22"/>
        </w:rPr>
      </w:pPr>
      <w:r>
        <w:rPr>
          <w:rFonts w:hint="eastAsia"/>
        </w:rPr>
        <w:t xml:space="preserve">In recent years, </w:t>
      </w:r>
      <w:r>
        <w:t xml:space="preserve">despite the variations in </w:t>
      </w:r>
      <w:r>
        <w:rPr>
          <w:rFonts w:hint="eastAsia"/>
        </w:rPr>
        <w:t>reports</w:t>
      </w:r>
      <w:r>
        <w:t xml:space="preserve"> across countries,</w:t>
      </w:r>
      <w:r>
        <w:rPr>
          <w:rFonts w:hint="eastAsia"/>
        </w:rPr>
        <w:t xml:space="preserve"> there </w:t>
      </w:r>
      <w:r>
        <w:t xml:space="preserve">has been </w:t>
      </w:r>
      <w:r>
        <w:rPr>
          <w:rFonts w:hint="eastAsia"/>
        </w:rPr>
        <w:t>a clear</w:t>
      </w:r>
      <w:r>
        <w:t xml:space="preserve"> </w:t>
      </w:r>
      <w:r>
        <w:rPr>
          <w:rFonts w:hint="eastAsia"/>
        </w:rPr>
        <w:t>upward trend</w:t>
      </w:r>
      <w:r>
        <w:t xml:space="preserve"> in </w:t>
      </w:r>
      <w:r>
        <w:rPr>
          <w:rFonts w:hint="eastAsia"/>
        </w:rPr>
        <w:t xml:space="preserve">the incidence of gout </w:t>
      </w:r>
      <w:r>
        <w:rPr>
          <w:rFonts w:hint="eastAsia"/>
          <w:vertAlign w:val="superscript"/>
        </w:rPr>
        <w:fldChar w:fldCharType="begin"/>
      </w:r>
      <w:r>
        <w:rPr>
          <w:rFonts w:hint="eastAsia"/>
          <w:vertAlign w:val="superscript"/>
        </w:rPr>
        <w:instrText xml:space="preserve"> ADDIN EN.CITE &lt;EndNote&gt;&lt;Cite&gt;&lt;Author&gt;邵继红&lt;/Author&gt;&lt;Year&gt;2004&lt;/Year&gt;&lt;RecNum&gt;142&lt;/RecNum&gt;&lt;DisplayText&gt;&lt;style face="superscript"&gt;[2]&lt;/style&gt;&lt;/DisplayText&gt;&lt;record&gt;&lt;rec-number&gt;142&lt;/rec-number&gt;&lt;foreign-keys&gt;&lt;key app="EN" db-id="x2xdxtw59rz9enedspwppd54vwa9xwrtxdst"&gt;142&lt;/key&gt;&lt;/foreign-keys&gt;&lt;ref-type name="Journal Article"&gt;17&lt;/ref-type&gt;&lt;contributors&gt;&lt;authors&gt;&lt;author&gt;邵继红&lt;/author&gt;&lt;author&gt;徐耀初&lt;/author&gt;&lt;author&gt;莫宝庆&lt;/author&gt;&lt;author&gt;沈洪兵&lt;/author&gt;&lt;/authors&gt;&lt;/contributors&gt;&lt;auth-address&gt;徐州医学院全科医学系,南京医科大学公共卫生学院,南京医科大学公共卫生学院,南京医科大学公共卫生学院 江苏徐州221002 ,江苏南京210029 ,江苏南京210029 ,江苏南京210029&lt;/auth-address&gt;&lt;titles&gt;&lt;title&gt;痛风与高尿酸血症的流行病学研究进展&lt;/title&gt;&lt;secondary-title&gt;疾病控制杂志&lt;/secondary-title&gt;&lt;/titles&gt;&lt;periodical&gt;&lt;full-title&gt;疾病控制杂志&lt;/full-title&gt;&lt;/periodical&gt;&lt;pages&gt;152-154&lt;/pages&gt;&lt;number&gt;02&lt;/number&gt;&lt;keywords&gt;&lt;keyword&gt;痛风&lt;/keyword&gt;&lt;keyword&gt;患病率&lt;/keyword&gt;&lt;keyword&gt;危险因素&lt;/keyword&gt;&lt;/keywords&gt;&lt;dates&gt;&lt;year&gt;2004&lt;/year&gt;&lt;/dates&gt;&lt;isbn&gt;1008-6013&lt;/isbn&gt;&lt;call-num&gt;34-1188/R&lt;/call-num&gt;&lt;urls&gt;&lt;/urls&gt;&lt;remote-database-provider&gt;Cnki&lt;/remote-database-provider&gt;&lt;/record&gt;&lt;/Cite&gt;&lt;/EndNote&gt;</w:instrText>
      </w:r>
      <w:r>
        <w:rPr>
          <w:rFonts w:hint="eastAsia"/>
          <w:vertAlign w:val="superscript"/>
        </w:rPr>
        <w:fldChar w:fldCharType="separate"/>
      </w:r>
      <w:r>
        <w:rPr>
          <w:rFonts w:hint="eastAsia"/>
        </w:rPr>
        <w:t>[1]</w:t>
      </w:r>
      <w:r>
        <w:rPr>
          <w:rFonts w:hint="eastAsia"/>
          <w:vertAlign w:val="superscript"/>
        </w:rPr>
        <w:fldChar w:fldCharType="end"/>
      </w:r>
      <w:r>
        <w:rPr>
          <w:rFonts w:hint="eastAsia"/>
        </w:rPr>
        <w:t xml:space="preserve">. </w:t>
      </w:r>
      <w:r>
        <w:t xml:space="preserve">Gout is a chronic disease caused by an elevation in the serum urate level </w:t>
      </w:r>
      <w:r>
        <w:rPr>
          <w:rFonts w:hint="eastAsia"/>
          <w:vertAlign w:val="superscript"/>
        </w:rPr>
        <w:fldChar w:fldCharType="begin"/>
      </w:r>
      <w:r>
        <w:rPr>
          <w:rFonts w:hint="eastAsia"/>
          <w:vertAlign w:val="superscript"/>
        </w:rPr>
        <w:instrText xml:space="preserve"> ADDIN EN.CITE &lt;EndNote&gt;&lt;Cite&gt;&lt;Author&gt;邵继红&lt;/Author&gt;&lt;Year&gt;2004&lt;/Year&gt;&lt;RecNum&gt;142&lt;/RecNum&gt;&lt;DisplayText&gt;&lt;style face="superscript"&gt;[2]&lt;/style&gt;&lt;/DisplayText&gt;&lt;record&gt;&lt;rec-number&gt;142&lt;/rec-number&gt;&lt;foreign-keys&gt;&lt;key app="EN" db-id="x2xdxtw59rz9enedspwppd54vwa9xwrtxdst"&gt;142&lt;/key&gt;&lt;/foreign-keys&gt;&lt;ref-type name="Journal Article"&gt;17&lt;/ref-type&gt;&lt;contributors&gt;&lt;authors&gt;&lt;author&gt;邵继红&lt;/author&gt;&lt;author&gt;徐耀初&lt;/author&gt;&lt;author&gt;莫宝庆&lt;/author&gt;&lt;author&gt;沈洪兵&lt;/author&gt;&lt;/authors&gt;&lt;/contributors&gt;&lt;auth-address&gt;徐州医学院全科医学系,南京医科大学公共卫生学院,南京医科大学公共卫生学院,南京医科大学公共卫生学院 江苏徐州221002 ,江苏南京210029 ,江苏南京210029 ,江苏南京210029&lt;/auth-address&gt;&lt;titles&gt;&lt;title&gt;痛风与高尿酸血症的流行病学研究进展&lt;/title&gt;&lt;secondary-title&gt;疾病控制杂志&lt;/secondary-title&gt;&lt;/titles&gt;&lt;periodical&gt;&lt;full-title&gt;疾病控制杂志&lt;/full-title&gt;&lt;/periodical&gt;&lt;pages&gt;152-154&lt;/pages&gt;&lt;number&gt;02&lt;/number&gt;&lt;keywords&gt;&lt;keyword&gt;痛风&lt;/keyword&gt;&lt;keyword&gt;患病率&lt;/keyword&gt;&lt;keyword&gt;危险因素&lt;/keyword&gt;&lt;/keywords&gt;&lt;dates&gt;&lt;year&gt;2004&lt;/year&gt;&lt;/dates&gt;&lt;isbn&gt;1008-6013&lt;/isbn&gt;&lt;call-num&gt;34-1188/R&lt;/call-num&gt;&lt;urls&gt;&lt;/urls&gt;&lt;remote-database-provider&gt;Cnki&lt;/remote-database-provider&gt;&lt;/record&gt;&lt;/Cite&gt;&lt;/EndNote&gt;</w:instrText>
      </w:r>
      <w:r>
        <w:rPr>
          <w:rFonts w:hint="eastAsia"/>
          <w:vertAlign w:val="superscript"/>
        </w:rPr>
        <w:fldChar w:fldCharType="separate"/>
      </w:r>
      <w:r>
        <w:rPr>
          <w:rFonts w:hint="eastAsia"/>
        </w:rPr>
        <w:t>[2]</w:t>
      </w:r>
      <w:r>
        <w:rPr>
          <w:rFonts w:hint="eastAsia"/>
          <w:vertAlign w:val="superscript"/>
        </w:rPr>
        <w:fldChar w:fldCharType="end"/>
      </w:r>
      <w:r>
        <w:t xml:space="preserve">. In Western Europe, 1% to 2% of adults have been affected by gout, while the proportions have reached 4% in developed countries such as the United States and the United Kingdom </w:t>
      </w:r>
      <w:r>
        <w:rPr>
          <w:rFonts w:hint="eastAsia"/>
        </w:rPr>
        <w:fldChar w:fldCharType="begin"/>
      </w:r>
      <w:r>
        <w:rPr>
          <w:rFonts w:hint="eastAsia"/>
        </w:rPr>
        <w:instrText xml:space="preserve"> ADDIN EN.CITE &lt;EndNote&gt;&lt;Cite&gt;&lt;Author&gt;Tatlock&lt;/Author&gt;&lt;Year&gt;2016&lt;/Year&gt;&lt;RecNum&gt;211&lt;/RecNum&gt;&lt;DisplayText&gt;&lt;style face="superscript"&gt;[3]&lt;/style&gt;&lt;/DisplayText&gt;&lt;record&gt;&lt;rec-number&gt;211&lt;/rec-number&gt;&lt;foreign-keys&gt;&lt;key app="EN" db-id="x2xdxtw59rz9enedspwppd54vwa9xwrtxdst"&gt;211&lt;/key&gt;&lt;/foreign-keys&gt;&lt;ref-type name="Journal Article"&gt;17&lt;/ref-type&gt;&lt;contributors&gt;&lt;authors&gt;&lt;author&gt;Tatlock, S.&lt;/author&gt;&lt;author&gt;Rudell, K.&lt;/author&gt;&lt;author&gt;Panter, C.&lt;/author&gt;&lt;author&gt;Arbuckle, R.&lt;/author&gt;&lt;author&gt;Harrold, L. R.&lt;/author&gt;&lt;author&gt;Taylor, W. J.&lt;/author&gt;&lt;author&gt;Symonds, T.&lt;/author&gt;&lt;/authors&gt;&lt;/contributors&gt;&lt;auth-address&gt;Adelphi Values, Adelphi Mill, Bollington, Cheshire, SK10 5JB, UK. sophi.tatlock@adelphivalues.com.&amp;#xD;AstraZeneca, Da Vinci Building, Melbourn Science Park, Royston, Cambridgeshire, SG86EE, UK.&amp;#xD;Adelphi Values, Adelphi Mill, Bollington, Cheshire, SK10 5JB, UK.&amp;#xD;Department of Medicine, University of Massachusetts Medical School, 55 Lake Avenue North, Worcester, MA, 01655, USA.&amp;#xD;Rehabilitation Teaching and Research Unit, University of Otago Wellington, PO Box 7343, Wellington, New Zealand.&amp;#xD;Clinical Outcomes Solutions Ltd, Shearway Road, Folkestone, CT194RH, UK.&lt;/auth-address&gt;&lt;titles&gt;&lt;title&gt;What Outcomes are Important for Gout Patients? In-Depth Qualitative Research into the Gout Patient Experience to Determine Optimal Endpoints for Evaluating Therapeutic Interventions&lt;/title&gt;&lt;secondary-title&gt;Patient&lt;/secondary-title&gt;&lt;alt-title&gt;The patient&lt;/alt-title&gt;&lt;/titles&gt;&lt;periodical&gt;&lt;full-title&gt;Patient&lt;/full-title&gt;&lt;abbr-1&gt;The patient&lt;/abbr-1&gt;&lt;/periodical&gt;&lt;alt-periodical&gt;&lt;full-title&gt;Patient&lt;/full-title&gt;&lt;abbr-1&gt;The patient&lt;/abbr-1&gt;&lt;/alt-periodical&gt;&lt;edition&gt;2016/07/08&lt;/edition&gt;&lt;dates&gt;&lt;year&gt;2016&lt;/year&gt;&lt;pub-dates&gt;&lt;date&gt;Jul 06&lt;/date&gt;&lt;/pub-dates&gt;&lt;/dates&gt;&lt;isbn&gt;1178-1653&lt;/isbn&gt;&lt;accession-num&gt;27384670&lt;/accession-num&gt;&lt;urls&gt;&lt;/urls&gt;&lt;electronic-resource-num&gt;10.1007/s40271-016-0184-x&lt;/electronic-resource-num&gt;&lt;remote-database-provider&gt;Nlm&lt;/remote-database-provider&gt;&lt;language&gt;eng&lt;/language&gt;&lt;/record&gt;&lt;/Cite&gt;&lt;/EndNote&gt;</w:instrText>
      </w:r>
      <w:r>
        <w:rPr>
          <w:rFonts w:hint="eastAsia"/>
        </w:rPr>
        <w:fldChar w:fldCharType="separate"/>
      </w:r>
      <w:r>
        <w:rPr>
          <w:rFonts w:hint="eastAsia"/>
        </w:rPr>
        <w:t>[3]</w:t>
      </w:r>
      <w:r>
        <w:rPr>
          <w:rFonts w:hint="eastAsia"/>
        </w:rPr>
        <w:fldChar w:fldCharType="end"/>
      </w:r>
      <w:r>
        <w:t>. Male patients outnumber female patients at a ratio of approximately 3:1.</w:t>
      </w:r>
      <w:r>
        <w:rPr>
          <w:rFonts w:hint="eastAsia"/>
          <w:lang w:eastAsia="zh-CN"/>
        </w:rPr>
        <w:t xml:space="preserve"> </w:t>
      </w:r>
      <w:r>
        <w:rPr>
          <w:rFonts w:hint="eastAsia"/>
        </w:rPr>
        <w:t>The prevalence of gout in China is about 1.1%, which is increasing year by year. The age of gout is also becoming younger</w:t>
      </w:r>
      <w:r>
        <w:rPr>
          <w:rFonts w:hint="eastAsia"/>
          <w:lang w:eastAsia="zh-CN"/>
        </w:rPr>
        <w:t xml:space="preserve"> </w:t>
      </w:r>
      <w:r>
        <w:rPr>
          <w:rFonts w:hint="eastAsia"/>
          <w:vertAlign w:val="superscript"/>
        </w:rPr>
        <w:fldChar w:fldCharType="begin"/>
      </w:r>
      <w:r>
        <w:rPr>
          <w:rFonts w:hint="eastAsia"/>
          <w:vertAlign w:val="superscript"/>
        </w:rPr>
        <w:instrText xml:space="preserve"> ADDIN EN.CITE &lt;EndNote&gt;&lt;Cite&gt;&lt;Author&gt;袁昕&lt;/Author&gt;&lt;Year&gt;2010&lt;/Year&gt;&lt;RecNum&gt;143&lt;/RecNum&gt;&lt;DisplayText&gt;&lt;style face="superscript"&gt;[4]&lt;/style&gt;&lt;/DisplayText&gt;&lt;record&gt;&lt;rec-number&gt;143&lt;/rec-number&gt;&lt;foreign-keys&gt;&lt;key app="EN" db-id="x2xdxtw59rz9enedspwppd54vwa9xwrtxdst"&gt;143&lt;/key&gt;&lt;/foreign-keys&gt;&lt;ref-type name="Journal Article"&gt;17&lt;/ref-type&gt;&lt;contributors&gt;&lt;authors&gt;&lt;author&gt;袁昕&lt;/author&gt;&lt;/authors&gt;&lt;/contributors&gt;&lt;auth-address&gt;苏州大学医学院;&lt;/auth-address&gt;&lt;titles&gt;&lt;title&gt;痛风与高尿酸血症的流行病及临床治疗进展&lt;/title&gt;&lt;secondary-title&gt;中国医疗前沿&lt;/secondary-title&gt;&lt;/titles&gt;&lt;periodical&gt;&lt;full-title&gt;中国医疗前沿&lt;/full-title&gt;&lt;/periodical&gt;&lt;pages&gt;11-12+52&lt;/pages&gt;&lt;number&gt;20&lt;/number&gt;&lt;keywords&gt;&lt;keyword&gt;痛风&lt;/keyword&gt;&lt;keyword&gt;高尿酸血症&lt;/keyword&gt;&lt;keyword&gt;流行病学&lt;/keyword&gt;&lt;keyword&gt;治疗进展&lt;/keyword&gt;&lt;/keywords&gt;&lt;dates&gt;&lt;year&gt;2010&lt;/year&gt;&lt;/dates&gt;&lt;isbn&gt;1673-5552&lt;/isbn&gt;&lt;call-num&gt;11-5483/R&lt;/call-num&gt;&lt;urls&gt;&lt;/urls&gt;&lt;remote-database-provider&gt;Cnki&lt;/remote-database-provider&gt;&lt;/record&gt;&lt;/Cite&gt;&lt;/EndNote&gt;</w:instrText>
      </w:r>
      <w:r>
        <w:rPr>
          <w:rFonts w:hint="eastAsia"/>
          <w:vertAlign w:val="superscript"/>
        </w:rPr>
        <w:fldChar w:fldCharType="separate"/>
      </w:r>
      <w:r>
        <w:rPr>
          <w:rFonts w:hint="eastAsia"/>
        </w:rPr>
        <w:t>[4]</w:t>
      </w:r>
      <w:r>
        <w:rPr>
          <w:rFonts w:hint="eastAsia"/>
          <w:vertAlign w:val="superscript"/>
        </w:rPr>
        <w:fldChar w:fldCharType="end"/>
      </w:r>
      <w:r>
        <w:rPr>
          <w:rFonts w:hint="eastAsia"/>
          <w:lang w:eastAsia="zh-CN"/>
        </w:rPr>
        <w:t>. T</w:t>
      </w:r>
      <w:r>
        <w:t xml:space="preserve">he prevalence of gout is increasing with socioeconomic development and changes in diet structure </w:t>
      </w:r>
      <w:r>
        <w:rPr>
          <w:rFonts w:hint="eastAsia"/>
          <w:vertAlign w:val="superscript"/>
        </w:rPr>
        <w:fldChar w:fldCharType="begin"/>
      </w:r>
      <w:r>
        <w:rPr>
          <w:rFonts w:hint="eastAsia"/>
          <w:vertAlign w:val="superscript"/>
        </w:rPr>
        <w:instrText xml:space="preserve"> ADDIN EN.CITE &lt;EndNote&gt;&lt;Cite&gt;&lt;Author&gt;袁昕&lt;/Author&gt;&lt;Year&gt;2010&lt;/Year&gt;&lt;RecNum&gt;143&lt;/RecNum&gt;&lt;DisplayText&gt;&lt;style face="superscript"&gt;[4]&lt;/style&gt;&lt;/DisplayText&gt;&lt;record&gt;&lt;rec-number&gt;143&lt;/rec-number&gt;&lt;foreign-keys&gt;&lt;key app="EN" db-id="x2xdxtw59rz9enedspwppd54vwa9xwrtxdst"&gt;143&lt;/key&gt;&lt;/foreign-keys&gt;&lt;ref-type name="Journal Article"&gt;17&lt;/ref-type&gt;&lt;contributors&gt;&lt;authors&gt;&lt;author&gt;袁昕&lt;/author&gt;&lt;/authors&gt;&lt;/contributors&gt;&lt;auth-address&gt;苏州大学医学院;&lt;/auth-address&gt;&lt;titles&gt;&lt;title&gt;痛风与高尿酸血症的流行病及临床治疗进展&lt;/title&gt;&lt;secondary-title&gt;中国医疗前沿&lt;/secondary-title&gt;&lt;/titles&gt;&lt;periodical&gt;&lt;full-title&gt;中国医疗前沿&lt;/full-title&gt;&lt;/periodical&gt;&lt;pages&gt;11-12+52&lt;/pages&gt;&lt;number&gt;20&lt;/number&gt;&lt;keywords&gt;&lt;keyword&gt;痛风&lt;/keyword&gt;&lt;keyword&gt;高尿酸血症&lt;/keyword&gt;&lt;keyword&gt;流行病学&lt;/keyword&gt;&lt;keyword&gt;治疗进展&lt;/keyword&gt;&lt;/keywords&gt;&lt;dates&gt;&lt;year&gt;2010&lt;/year&gt;&lt;/dates&gt;&lt;isbn&gt;1673-5552&lt;/isbn&gt;&lt;call-num&gt;11-5483/R&lt;/call-num&gt;&lt;urls&gt;&lt;/urls&gt;&lt;remote-database-provider&gt;Cnki&lt;/remote-database-provider&gt;&lt;/record&gt;&lt;/Cite&gt;&lt;/EndNote&gt;</w:instrText>
      </w:r>
      <w:r>
        <w:rPr>
          <w:rFonts w:hint="eastAsia"/>
          <w:vertAlign w:val="superscript"/>
        </w:rPr>
        <w:fldChar w:fldCharType="separate"/>
      </w:r>
      <w:r>
        <w:rPr>
          <w:rFonts w:hint="eastAsia"/>
        </w:rPr>
        <w:t>[</w:t>
      </w:r>
      <w:r>
        <w:rPr>
          <w:rFonts w:hint="eastAsia"/>
          <w:lang w:eastAsia="zh-CN"/>
        </w:rPr>
        <w:t>5</w:t>
      </w:r>
      <w:r>
        <w:rPr>
          <w:rFonts w:hint="eastAsia"/>
        </w:rPr>
        <w:t>]</w:t>
      </w:r>
      <w:r>
        <w:rPr>
          <w:rFonts w:hint="eastAsia"/>
          <w:vertAlign w:val="superscript"/>
        </w:rPr>
        <w:fldChar w:fldCharType="end"/>
      </w:r>
      <w:r>
        <w:t xml:space="preserve">. </w:t>
      </w:r>
      <w:r>
        <w:rPr>
          <w:rFonts w:hint="eastAsia"/>
          <w:lang w:eastAsia="zh-CN"/>
        </w:rPr>
        <w:t>This syst</w:t>
      </w:r>
      <w:r>
        <w:t>em includes a general module (QLICD-GM</w:t>
      </w:r>
      <w:r>
        <w:rPr>
          <w:rFonts w:hint="eastAsia"/>
          <w:lang w:eastAsia="zh-CN"/>
        </w:rPr>
        <w:t xml:space="preserve">, </w:t>
      </w:r>
      <w:r>
        <w:t>V1.0), which can be used with all types of chronic disease patients, and specific modules for different diseases, with each module being used for only the relevant disease</w:t>
      </w:r>
      <w:r>
        <w:rPr>
          <w:rFonts w:hint="eastAsia"/>
          <w:lang w:eastAsia="zh-CN"/>
        </w:rPr>
        <w:t>[6]</w:t>
      </w:r>
      <w:r>
        <w:t>. Based on the Quality of Life Instruments for Chronic Diseases (QLICD</w:t>
      </w:r>
      <w:r>
        <w:rPr>
          <w:rFonts w:hint="eastAsia"/>
          <w:lang w:eastAsia="zh-CN"/>
        </w:rPr>
        <w:t>-GM</w:t>
      </w:r>
      <w:r>
        <w:t>, V1.0) in China developed by Wan et al., the Quality of Life Instruments for Chronic Diseases-Gout (QLICD-GO, V2.0) was formulated and used to assess patients with gout during clinic visits between October 2015 and December 2016. The results are reported below.</w:t>
      </w:r>
    </w:p>
    <w:p>
      <w:pPr>
        <w:pStyle w:val="27"/>
        <w:spacing w:after="156"/>
      </w:pPr>
      <w:r>
        <w:rPr>
          <w:rFonts w:hint="eastAsia"/>
        </w:rPr>
        <w:t>1 Study subjects and methods</w:t>
      </w:r>
    </w:p>
    <w:p>
      <w:pPr>
        <w:pStyle w:val="29"/>
        <w:spacing w:after="156"/>
      </w:pPr>
      <w:r>
        <w:rPr>
          <w:rFonts w:hint="eastAsia"/>
        </w:rPr>
        <w:t>1.1 Subjects</w:t>
      </w:r>
    </w:p>
    <w:p>
      <w:pPr>
        <w:pStyle w:val="37"/>
        <w:spacing w:after="156"/>
      </w:pPr>
      <w:r>
        <w:t>The subjects were</w:t>
      </w:r>
      <w:r>
        <w:rPr>
          <w:rFonts w:hint="eastAsia"/>
        </w:rPr>
        <w:t xml:space="preserve"> 161 patients with</w:t>
      </w:r>
      <w:r>
        <w:t xml:space="preserve"> a</w:t>
      </w:r>
      <w:r>
        <w:rPr>
          <w:rFonts w:hint="eastAsia"/>
        </w:rPr>
        <w:t xml:space="preserve"> </w:t>
      </w:r>
      <w:r>
        <w:t xml:space="preserve">confirmed diagnosis of </w:t>
      </w:r>
      <w:r>
        <w:rPr>
          <w:rFonts w:hint="eastAsia"/>
        </w:rPr>
        <w:t xml:space="preserve">gout in the Department of Rheumatology and Immunology </w:t>
      </w:r>
      <w:r>
        <w:t xml:space="preserve">in </w:t>
      </w:r>
      <w:r>
        <w:rPr>
          <w:rFonts w:hint="eastAsia"/>
        </w:rPr>
        <w:t>the First Affiliated Hospital of Shenzhen University (Shenzhen Second People</w:t>
      </w:r>
      <w:r>
        <w:t>’</w:t>
      </w:r>
      <w:r>
        <w:rPr>
          <w:rFonts w:hint="eastAsia"/>
        </w:rPr>
        <w:t xml:space="preserve">s Hospital) and the Affiliated Hospital of Guangdong Medical University between October 2015 and December 2016. The diagnostic criteria were based on the </w:t>
      </w:r>
      <w:r>
        <w:t xml:space="preserve">2015 American College of Rheumatology/European League Against Rheumatism Gout Classification Criteria </w:t>
      </w:r>
      <w:r>
        <w:rPr>
          <w:rFonts w:hint="eastAsia"/>
          <w:vertAlign w:val="superscript"/>
        </w:rPr>
        <w:fldChar w:fldCharType="begin"/>
      </w:r>
      <w:r>
        <w:rPr>
          <w:rFonts w:hint="eastAsia"/>
          <w:vertAlign w:val="superscript"/>
        </w:rPr>
        <w:instrText xml:space="preserve"> ADDIN EN.CITE &lt;EndNote&gt;&lt;Cite&gt;&lt;Author&gt;Tatlock&lt;/Author&gt;&lt;Year&gt;2016&lt;/Year&gt;&lt;RecNum&gt;211&lt;/RecNum&gt;&lt;DisplayText&gt;&lt;style face="superscript"&gt;[3]&lt;/style&gt;&lt;/DisplayText&gt;&lt;record&gt;&lt;rec-number&gt;211&lt;/rec-number&gt;&lt;foreign-keys&gt;&lt;key app="EN" db-id="x2xdxtw59rz9enedspwppd54vwa9xwrtxdst"&gt;211&lt;/key&gt;&lt;/foreign-keys&gt;&lt;ref-type name="Journal Article"&gt;17&lt;/ref-type&gt;&lt;contributors&gt;&lt;authors&gt;&lt;author&gt;Tatlock, S.&lt;/author&gt;&lt;author&gt;Rudell, K.&lt;/author&gt;&lt;author&gt;Panter, C.&lt;/author&gt;&lt;author&gt;Arbuckle, R.&lt;/author&gt;&lt;author&gt;Harrold, L. R.&lt;/author&gt;&lt;author&gt;Taylor, W. J.&lt;/author&gt;&lt;author&gt;Symonds, T.&lt;/author&gt;&lt;/authors&gt;&lt;/contributors&gt;&lt;auth-address&gt;Adelphi Values, Adelphi Mill, Bollington, Cheshire, SK10 5JB, UK. sophi.tatlock@adelphivalues.com.&amp;#xD;AstraZeneca, Da Vinci Building, Melbourn Science Park, Royston, Cambridgeshire, SG86EE, UK.&amp;#xD;Adelphi Values, Adelphi Mill, Bollington, Cheshire, SK10 5JB, UK.&amp;#xD;Department of Medicine, University of Massachusetts Medical School, 55 Lake Avenue North, Worcester, MA, 01655, USA.&amp;#xD;Rehabilitation Teaching and Research Unit, University of Otago Wellington, PO Box 7343, Wellington, New Zealand.&amp;#xD;Clinical Outcomes Solutions Ltd, Shearway Road, Folkestone, CT194RH, UK.&lt;/auth-address&gt;&lt;titles&gt;&lt;title&gt;What Outcomes are Important for Gout Patients? In-Depth Qualitative Research into the Gout Patient Experience to Determine Optimal Endpoints for Evaluating Therapeutic Interventions&lt;/title&gt;&lt;secondary-title&gt;Patient&lt;/secondary-title&gt;&lt;alt-title&gt;The patient&lt;/alt-title&gt;&lt;/titles&gt;&lt;periodical&gt;&lt;full-title&gt;Patient&lt;/full-title&gt;&lt;abbr-1&gt;The patient&lt;/abbr-1&gt;&lt;/periodical&gt;&lt;alt-periodical&gt;&lt;full-title&gt;Patient&lt;/full-title&gt;&lt;abbr-1&gt;The patient&lt;/abbr-1&gt;&lt;/alt-periodical&gt;&lt;edition&gt;2016/07/08&lt;/edition&gt;&lt;dates&gt;&lt;year&gt;2016&lt;/year&gt;&lt;pub-dates&gt;&lt;date&gt;Jul 06&lt;/date&gt;&lt;/pub-dates&gt;&lt;/dates&gt;&lt;isbn&gt;1178-1653&lt;/isbn&gt;&lt;accession-num&gt;27384670&lt;/accession-num&gt;&lt;urls&gt;&lt;/urls&gt;&lt;electronic-resource-num&gt;10.1007/s40271-016-0184-x&lt;/electronic-resource-num&gt;&lt;remote-database-provider&gt;Nlm&lt;/remote-database-provider&gt;&lt;language&gt;eng&lt;/language&gt;&lt;/record&gt;&lt;/Cite&gt;&lt;/EndNote&gt;</w:instrText>
      </w:r>
      <w:r>
        <w:rPr>
          <w:rFonts w:hint="eastAsia"/>
          <w:vertAlign w:val="superscript"/>
        </w:rPr>
        <w:fldChar w:fldCharType="separate"/>
      </w:r>
      <w:r>
        <w:rPr>
          <w:rFonts w:hint="eastAsia"/>
        </w:rPr>
        <w:t>[</w:t>
      </w:r>
      <w:r>
        <w:rPr>
          <w:rFonts w:hint="eastAsia"/>
          <w:lang w:eastAsia="zh-CN"/>
        </w:rPr>
        <w:t>7</w:t>
      </w:r>
      <w:r>
        <w:rPr>
          <w:rFonts w:hint="eastAsia"/>
        </w:rPr>
        <w:t>]</w:t>
      </w:r>
      <w:r>
        <w:rPr>
          <w:rFonts w:hint="eastAsia"/>
          <w:vertAlign w:val="superscript"/>
        </w:rPr>
        <w:fldChar w:fldCharType="end"/>
      </w:r>
      <w:r>
        <w:t>. The eligible patients had basic literacy skills. Pre- and posttreatment quality of life (QOL) assessments were performed after informed consent was obtained.</w:t>
      </w:r>
    </w:p>
    <w:p>
      <w:pPr>
        <w:pStyle w:val="29"/>
        <w:spacing w:after="156"/>
      </w:pPr>
      <w:r>
        <w:rPr>
          <w:rFonts w:hint="eastAsia"/>
        </w:rPr>
        <w:t>1.2 Methods</w:t>
      </w:r>
    </w:p>
    <w:p>
      <w:pPr>
        <w:pStyle w:val="37"/>
        <w:spacing w:after="156"/>
      </w:pPr>
      <w:r>
        <w:rPr>
          <w:b/>
          <w:bCs/>
        </w:rPr>
        <w:t>1.2.1 Instrument development</w:t>
      </w:r>
      <w:r>
        <w:t xml:space="preserve"> </w:t>
      </w:r>
      <w:r>
        <w:rPr>
          <w:rStyle w:val="19"/>
          <w:rFonts w:hint="eastAsia" w:asciiTheme="minorHAnsi" w:hAnsiTheme="minorHAnsi" w:eastAsiaTheme="minorEastAsia" w:cstheme="minorBidi"/>
          <w:lang w:eastAsia="zh-CN" w:bidi="ar-SA"/>
        </w:rPr>
        <w:t xml:space="preserve"> </w:t>
      </w:r>
      <w:r>
        <w:t>The QLICD-GO (V2.0) was developed by combining</w:t>
      </w:r>
      <w:r>
        <w:rPr>
          <w:color w:val="000000" w:themeColor="text1"/>
          <w14:textFill>
            <w14:solidFill>
              <w14:schemeClr w14:val="tx1"/>
            </w14:solidFill>
          </w14:textFill>
        </w:rPr>
        <w:t xml:space="preserve"> the widely recognized general module of the Quality of Life Instruments for Chronic Diseases (QLICD</w:t>
      </w:r>
      <w:r>
        <w:rPr>
          <w:rFonts w:hint="eastAsia"/>
          <w:color w:val="000000" w:themeColor="text1"/>
          <w:lang w:eastAsia="zh-CN"/>
          <w14:textFill>
            <w14:solidFill>
              <w14:schemeClr w14:val="tx1"/>
            </w14:solidFill>
          </w14:textFill>
        </w:rPr>
        <w:t>-GM</w:t>
      </w:r>
      <w:r>
        <w:rPr>
          <w:color w:val="000000" w:themeColor="text1"/>
          <w14:textFill>
            <w14:solidFill>
              <w14:schemeClr w14:val="tx1"/>
            </w14:solidFill>
          </w14:textFill>
        </w:rPr>
        <w:t>) with a specific module for gout. This general module, consisting of 2</w:t>
      </w:r>
      <w:r>
        <w:rPr>
          <w:rFonts w:hint="eastAsia"/>
          <w:color w:val="000000" w:themeColor="text1"/>
          <w:lang w:val="en-US" w:eastAsia="zh-CN"/>
          <w14:textFill>
            <w14:solidFill>
              <w14:schemeClr w14:val="tx1"/>
            </w14:solidFill>
          </w14:textFill>
        </w:rPr>
        <w:t>8</w:t>
      </w:r>
      <w:r>
        <w:rPr>
          <w:color w:val="000000" w:themeColor="text1"/>
          <w14:textFill>
            <w14:solidFill>
              <w14:schemeClr w14:val="tx1"/>
            </w14:solidFill>
          </w14:textFill>
        </w:rPr>
        <w:t xml:space="preserve"> items in three domains (physical function, psychological function, and social function), has</w:t>
      </w:r>
      <w:r>
        <w:t xml:space="preserve"> previously been formulated on the basis of topic discussion, interviews with and investigations in patients with different chronic diseases and medical staff, and multiple discussions, analyses, screening, and revisions by research team members.</w:t>
      </w:r>
    </w:p>
    <w:p>
      <w:pPr>
        <w:pStyle w:val="37"/>
        <w:spacing w:after="156"/>
      </w:pPr>
      <w:r>
        <w:t>With reference to relevant literature and QOL instruments (universal and specific instruments) for patients with gout from China and abroad and in combination with clinical expertise on gout, we proposed a pool of 34 health-related QOL items specifically for patients with gout, covering gout-induced impacts on the physical, psychological, and social functioning of patients, and drug-related side effects. Each potential item for the gout-specific module was analyzed at meetings of the topic panel and core panel. Thirteen items for the specific module were selected and were organized into a patient questionnaire and a medical staff questionnaire. Based on five methods to screen items and the opinions of clinical experts, a 12-item gout-specific module was formed.</w:t>
      </w:r>
    </w:p>
    <w:p>
      <w:pPr>
        <w:pStyle w:val="37"/>
        <w:spacing w:after="156"/>
        <w:rPr>
          <w:rFonts w:hint="eastAsia" w:eastAsia="宋体"/>
          <w:lang w:val="en-US" w:eastAsia="zh-CN"/>
        </w:rPr>
      </w:pPr>
      <w:r>
        <w:t>The QLICD-GO (V2.0) is divided into four aspects, including physical symptoms and signs (six items), functional limitation to daily life (one item), common drug-related side effects (two items), and unique psychological effects (three items). A five-point Likert scoring method is used, with possible scores between 1 and 5 or between −5 and −1. The higher the score of a positive item, the better the QOL; the greater the absolute value of the score of a negative item, the worse the QOL.</w:t>
      </w:r>
      <w:r>
        <w:rPr>
          <w:rFonts w:hint="eastAsia"/>
          <w:lang w:val="en-US" w:eastAsia="zh-CN"/>
        </w:rPr>
        <w:t xml:space="preserve"> For positive items, there is no need to convert, the original score is the item score, for reverse items, it is necessary to "forward transform", that is, subtract the original score from 6 to get the item score.</w:t>
      </w:r>
    </w:p>
    <w:p>
      <w:pPr>
        <w:pStyle w:val="37"/>
        <w:spacing w:after="156"/>
      </w:pPr>
      <w:r>
        <w:rPr>
          <w:b/>
          <w:bCs/>
        </w:rPr>
        <w:t>1.2.2 Data collection</w:t>
      </w:r>
      <w:r>
        <w:t xml:space="preserve"> The investigator briefly explained the purpose of the survey and distributed the instrument to the patients, who filled in the instrument independently according to their actual conditions. Because most patients with gout were outpatients, the subjects fill out the instrument on the day of initial consultation and on the day of subsequent consultation. </w:t>
      </w:r>
    </w:p>
    <w:p>
      <w:pPr>
        <w:pStyle w:val="37"/>
        <w:spacing w:after="156"/>
      </w:pPr>
      <w:r>
        <w:rPr>
          <w:b/>
          <w:bCs/>
        </w:rPr>
        <w:t>1.2.3 Instrument assessment</w:t>
      </w:r>
      <w:r>
        <w:t xml:space="preserve"> After conversion of item scores, the raw score (RS) in each aspect was calculated and converted to a standard score (SS) according to </w:t>
      </w:r>
      <w:bookmarkStart w:id="1" w:name="_Hlk24381827"/>
      <w:r>
        <w:t xml:space="preserve">the range method </w:t>
      </w:r>
      <w:bookmarkEnd w:id="1"/>
      <w:r>
        <w:t>to facilitate comparison between items. The SS of a domain was obtained by subtracting the lowest possible score of the domain (S</w:t>
      </w:r>
      <w:r>
        <w:rPr>
          <w:vertAlign w:val="subscript"/>
        </w:rPr>
        <w:t>min</w:t>
      </w:r>
      <w:r>
        <w:t>) from the RS of the domain, the difference was divided by the range of the RS of the domain, and the result was multiplied by 100. The calculation formula is SS = (RS − S</w:t>
      </w:r>
      <w:r>
        <w:rPr>
          <w:vertAlign w:val="subscript"/>
        </w:rPr>
        <w:t>min</w:t>
      </w:r>
      <w:r>
        <w:t>) / (S</w:t>
      </w:r>
      <w:r>
        <w:rPr>
          <w:vertAlign w:val="subscript"/>
        </w:rPr>
        <w:t>max</w:t>
      </w:r>
      <w:r>
        <w:t xml:space="preserve"> − S</w:t>
      </w:r>
      <w:r>
        <w:rPr>
          <w:vertAlign w:val="subscript"/>
        </w:rPr>
        <w:t>min</w:t>
      </w:r>
      <w:r>
        <w:t xml:space="preserve">) × 100. 3). The assessment covered the reliability (internal consistency reliability and split-half reliability), validity (content validity, construct validity, and criterion validity), and responsiveness (comparison of pre- and posttreatment mean scores, standardized response mean [SRM]) of the instrument. </w:t>
      </w:r>
      <w:r>
        <w:rPr>
          <w:rFonts w:hint="eastAsia"/>
        </w:rPr>
        <w:t>In this study, we use SF-36 as the calibration standard, because the calibration validity is lack of gold standard, and SF-36 is a widely recognized tool for measuring QOL</w:t>
      </w:r>
      <w:r>
        <w:t xml:space="preserve"> [</w:t>
      </w:r>
      <w:r>
        <w:rPr>
          <w:rFonts w:hint="eastAsia"/>
          <w:lang w:eastAsia="zh-CN"/>
        </w:rPr>
        <w:t>8</w:t>
      </w:r>
      <w:r>
        <w:t xml:space="preserve">]. </w:t>
      </w:r>
    </w:p>
    <w:p>
      <w:pPr>
        <w:pStyle w:val="29"/>
        <w:spacing w:after="156"/>
      </w:pPr>
      <w:r>
        <w:t>1.3 Statistical analysis</w:t>
      </w:r>
    </w:p>
    <w:p>
      <w:pPr>
        <w:pStyle w:val="37"/>
        <w:spacing w:after="156"/>
      </w:pPr>
      <w:r>
        <w:t xml:space="preserve">SPSS 21.0 statistical software was used for data entry and analysis. The statistical methods included the following two categories: methods for instrument item screening (coefficient of variation, correlation analysis, and factor analysis) and methods for instrument assessment (paired </w:t>
      </w:r>
      <w:r>
        <w:rPr>
          <w:i/>
          <w:iCs/>
        </w:rPr>
        <w:t>t</w:t>
      </w:r>
      <w:r>
        <w:t>-test and correlation analysis).</w:t>
      </w:r>
    </w:p>
    <w:p>
      <w:pPr>
        <w:pStyle w:val="27"/>
        <w:spacing w:after="156"/>
      </w:pPr>
      <w:r>
        <w:rPr>
          <w:rFonts w:hint="eastAsia"/>
        </w:rPr>
        <w:t>2 Results</w:t>
      </w:r>
    </w:p>
    <w:p>
      <w:pPr>
        <w:pStyle w:val="29"/>
        <w:spacing w:after="156"/>
      </w:pPr>
      <w:r>
        <w:rPr>
          <w:rFonts w:hint="eastAsia"/>
        </w:rPr>
        <w:t>2.1 General information</w:t>
      </w:r>
    </w:p>
    <w:p>
      <w:pPr>
        <w:pStyle w:val="37"/>
        <w:spacing w:after="156"/>
      </w:pPr>
      <w:r>
        <w:rPr>
          <w:rFonts w:hint="eastAsia"/>
        </w:rPr>
        <w:t xml:space="preserve">A total of 116 outpatients (aged 46.81 </w:t>
      </w:r>
      <w:r>
        <w:t xml:space="preserve">± </w:t>
      </w:r>
      <w:r>
        <w:rPr>
          <w:rFonts w:hint="eastAsia"/>
        </w:rPr>
        <w:t>16.38 years) with gout were investigated in this study. The details are presented in Table 1.</w:t>
      </w:r>
    </w:p>
    <w:p>
      <w:pPr>
        <w:widowControl/>
        <w:spacing w:line="360" w:lineRule="auto"/>
        <w:rPr>
          <w:rFonts w:ascii="宋体" w:hAnsi="宋体"/>
          <w:sz w:val="24"/>
        </w:rPr>
      </w:pPr>
    </w:p>
    <w:p>
      <w:pPr>
        <w:pStyle w:val="29"/>
        <w:spacing w:after="156"/>
      </w:pPr>
      <w:r>
        <w:t>2.2 Reliability analysis</w:t>
      </w:r>
    </w:p>
    <w:p>
      <w:pPr>
        <w:pStyle w:val="37"/>
        <w:spacing w:after="156"/>
      </w:pPr>
      <w:r>
        <w:t xml:space="preserve">A total of 116 patients with gout were investigated using the QLICD-GO to analyze the internal consistency and split-half reliability of the general </w:t>
      </w:r>
      <w:r>
        <w:rPr>
          <w:rFonts w:hint="eastAsia"/>
          <w:lang w:eastAsia="zh-CN"/>
        </w:rPr>
        <w:t>domain</w:t>
      </w:r>
      <w:r>
        <w:t xml:space="preserve"> and specific </w:t>
      </w:r>
      <w:r>
        <w:rPr>
          <w:rFonts w:hint="eastAsia"/>
          <w:lang w:eastAsia="zh-CN"/>
        </w:rPr>
        <w:t>domain</w:t>
      </w:r>
      <w:r>
        <w:t xml:space="preserve">. </w:t>
      </w:r>
      <w:r>
        <w:rPr>
          <w:rFonts w:hint="eastAsia"/>
        </w:rPr>
        <w:t xml:space="preserve">The Cronbach alpha coefficient of </w:t>
      </w:r>
      <w:r>
        <w:t>QLICD-GO</w:t>
      </w:r>
      <w:r>
        <w:rPr>
          <w:rFonts w:hint="eastAsia"/>
        </w:rPr>
        <w:t xml:space="preserve"> in all fields is above 0.7 except for the physiological function field</w:t>
      </w:r>
      <w:r>
        <w:rPr>
          <w:rFonts w:hint="eastAsia"/>
          <w:lang w:val="en-US" w:eastAsia="zh-CN"/>
        </w:rPr>
        <w:t>.</w:t>
      </w:r>
      <w:r>
        <w:t xml:space="preserve"> The Cronbach’s α coefficients of the general </w:t>
      </w:r>
      <w:r>
        <w:rPr>
          <w:rFonts w:hint="eastAsia"/>
          <w:lang w:eastAsia="zh-CN"/>
        </w:rPr>
        <w:t>domain</w:t>
      </w:r>
      <w:r>
        <w:t xml:space="preserve">, specific </w:t>
      </w:r>
      <w:r>
        <w:rPr>
          <w:rFonts w:hint="eastAsia"/>
          <w:lang w:eastAsia="zh-CN"/>
        </w:rPr>
        <w:t>domain</w:t>
      </w:r>
      <w:r>
        <w:t>, and whole instrument were 0.8</w:t>
      </w:r>
      <w:r>
        <w:rPr>
          <w:rFonts w:hint="eastAsia"/>
          <w:lang w:val="en-US" w:eastAsia="zh-CN"/>
        </w:rPr>
        <w:t>4</w:t>
      </w:r>
      <w:r>
        <w:t>, 0.81, and 0.</w:t>
      </w:r>
      <w:r>
        <w:rPr>
          <w:rFonts w:hint="eastAsia"/>
          <w:lang w:val="en-US" w:eastAsia="zh-CN"/>
        </w:rPr>
        <w:t>55</w:t>
      </w:r>
      <w:r>
        <w:t xml:space="preserve">, respectively; the split-half reliability coefficients of domains in the QLICD-GO were between </w:t>
      </w:r>
      <w:r>
        <w:rPr>
          <w:rFonts w:hint="eastAsia"/>
          <w:lang w:val="en-US" w:eastAsia="zh-CN"/>
        </w:rPr>
        <w:t>0.33</w:t>
      </w:r>
      <w:r>
        <w:t xml:space="preserve"> and 0.</w:t>
      </w:r>
      <w:r>
        <w:rPr>
          <w:rFonts w:hint="eastAsia"/>
          <w:lang w:val="en-US" w:eastAsia="zh-CN"/>
        </w:rPr>
        <w:t>76</w:t>
      </w:r>
      <w:r>
        <w:t xml:space="preserve">. The split-half reliability coefficients of the general </w:t>
      </w:r>
      <w:r>
        <w:rPr>
          <w:rFonts w:hint="eastAsia"/>
          <w:lang w:eastAsia="zh-CN"/>
        </w:rPr>
        <w:t>domain</w:t>
      </w:r>
      <w:r>
        <w:t xml:space="preserve">, specific </w:t>
      </w:r>
      <w:r>
        <w:rPr>
          <w:rFonts w:hint="eastAsia"/>
          <w:lang w:eastAsia="zh-CN"/>
        </w:rPr>
        <w:t>domain</w:t>
      </w:r>
      <w:r>
        <w:t>, and whole instrument were 0.7</w:t>
      </w:r>
      <w:r>
        <w:rPr>
          <w:rFonts w:hint="eastAsia"/>
          <w:lang w:val="en-US" w:eastAsia="zh-CN"/>
        </w:rPr>
        <w:t>3</w:t>
      </w:r>
      <w:r>
        <w:t>, 0.65, and 0.8</w:t>
      </w:r>
      <w:r>
        <w:rPr>
          <w:rFonts w:hint="eastAsia"/>
          <w:lang w:val="en-US" w:eastAsia="zh-CN"/>
        </w:rPr>
        <w:t>9</w:t>
      </w:r>
      <w:r>
        <w:t>, respectively. Both coefficients showed relatively high reliability and good internal consistency of the instrument (see Table 2 for details).</w:t>
      </w:r>
    </w:p>
    <w:p>
      <w:pPr>
        <w:widowControl/>
        <w:jc w:val="left"/>
        <w:rPr>
          <w:rFonts w:ascii="Times New Roman" w:hAnsi="Times New Roman" w:eastAsia="宋体" w:cs="Times New Roman"/>
          <w:b/>
          <w:sz w:val="24"/>
          <w:lang w:eastAsia="en-US" w:bidi="en-US"/>
        </w:rPr>
      </w:pPr>
    </w:p>
    <w:p>
      <w:pPr>
        <w:spacing w:line="360" w:lineRule="auto"/>
        <w:jc w:val="left"/>
        <w:rPr>
          <w:rFonts w:ascii="宋体" w:hAnsi="宋体" w:eastAsia="宋体" w:cs="宋体"/>
          <w:sz w:val="24"/>
        </w:rPr>
      </w:pPr>
    </w:p>
    <w:p>
      <w:pPr>
        <w:pStyle w:val="29"/>
        <w:spacing w:after="156"/>
        <w:rPr>
          <w:rFonts w:cs="宋体"/>
        </w:rPr>
      </w:pPr>
      <w:r>
        <w:rPr>
          <w:rFonts w:hint="eastAsia"/>
        </w:rPr>
        <w:t>2.3 Validity analysis</w:t>
      </w:r>
    </w:p>
    <w:p>
      <w:pPr>
        <w:pStyle w:val="37"/>
        <w:spacing w:after="156"/>
      </w:pPr>
      <w:r>
        <w:rPr>
          <w:b/>
          <w:bCs/>
        </w:rPr>
        <w:t>2.3.1 Content validity</w:t>
      </w:r>
      <w:r>
        <w:t xml:space="preserve"> The QLICD-GO has been developed in a stringent and programmatic manner under the QLICD system. The items of the instrument include dimensions and assessment contents required by the World Health Organization (WHO) and conforming to the definitions of health and QOL proposed by the WHO. These items cover the physical, psychological, and social status specific to patients with gout. The relatively good content validity of the QLICD-GO is justified on the basis of thorough discussion and screening by the expert panel.</w:t>
      </w:r>
    </w:p>
    <w:p>
      <w:pPr>
        <w:pStyle w:val="37"/>
        <w:spacing w:after="156"/>
      </w:pPr>
      <w:r>
        <w:rPr>
          <w:b/>
          <w:bCs/>
        </w:rPr>
        <w:t>2.3.2 Construct validity</w:t>
      </w:r>
      <w:r>
        <w:t xml:space="preserve"> Since assessment of the construct validity of the general module of the instrument has been completed at an early stage, only the construct validity of the specific module was assessed in this section, mainly using exploratory factor analysis and item-dimension correlation analysis. </w:t>
      </w:r>
    </w:p>
    <w:p>
      <w:pPr>
        <w:pStyle w:val="37"/>
        <w:spacing w:after="156"/>
        <w:rPr>
          <w:bCs/>
        </w:rPr>
      </w:pPr>
      <w:r>
        <w:t xml:space="preserve">Exploratory factor analysis: Bartlett’s test of sphericity of the specific module of the instrument yielded a </w:t>
      </w:r>
      <w:r>
        <w:rPr>
          <w:bCs/>
          <w:i/>
        </w:rPr>
        <w:sym w:font="Symbol" w:char="F063"/>
      </w:r>
      <w:r>
        <w:rPr>
          <w:vertAlign w:val="superscript"/>
        </w:rPr>
        <w:t>2</w:t>
      </w:r>
      <w:r>
        <w:t xml:space="preserve"> value of 471.93 (</w:t>
      </w:r>
      <w:r>
        <w:rPr>
          <w:i/>
        </w:rPr>
        <w:t>P</w:t>
      </w:r>
      <w:r>
        <w:t xml:space="preserve"> &lt; 0.001), indicating that the variables were not independent and were suitable for factor analysis. In addition, the Kaiser-Meyer-Olkin (KMO) measure of sampling adequacy was 0.76 in this study, indicating that factor analysis was suitable (factor analysis is not suitable when KMO is &lt;0.5). The principal component analysis method was used to extract common factors. According to the above discussion and eigenvalue &gt;1, three common factors were extracted for the instrument after varimax rotation. The cumulative variance contribution rate was 57.54%. Factor I included T</w:t>
      </w:r>
      <w:r>
        <w:rPr>
          <w:rFonts w:hint="eastAsia"/>
          <w:lang w:val="en-US" w:eastAsia="zh-CN"/>
        </w:rPr>
        <w:t>GO</w:t>
      </w:r>
      <w:r>
        <w:t>7 and T</w:t>
      </w:r>
      <w:r>
        <w:rPr>
          <w:rFonts w:hint="eastAsia"/>
          <w:lang w:val="en-US" w:eastAsia="zh-CN"/>
        </w:rPr>
        <w:t>GO</w:t>
      </w:r>
      <w:r>
        <w:t>10–T</w:t>
      </w:r>
      <w:r>
        <w:rPr>
          <w:rFonts w:hint="eastAsia"/>
          <w:lang w:val="en-US" w:eastAsia="zh-CN"/>
        </w:rPr>
        <w:t>GO</w:t>
      </w:r>
      <w:r>
        <w:t>12 and mainly reflected the psychological changes in patients with gout; Factor II included T</w:t>
      </w:r>
      <w:r>
        <w:rPr>
          <w:rFonts w:hint="eastAsia"/>
          <w:lang w:val="en-US" w:eastAsia="zh-CN"/>
        </w:rPr>
        <w:t>GO</w:t>
      </w:r>
      <w:r>
        <w:t>1–T</w:t>
      </w:r>
      <w:r>
        <w:rPr>
          <w:rFonts w:hint="eastAsia"/>
          <w:lang w:val="en-US" w:eastAsia="zh-CN"/>
        </w:rPr>
        <w:t>GO</w:t>
      </w:r>
      <w:r>
        <w:t>4 and mainly reflected the clinical symptoms and signs in patients with gout; Factor III included T</w:t>
      </w:r>
      <w:r>
        <w:rPr>
          <w:rFonts w:hint="eastAsia"/>
          <w:lang w:val="en-US" w:eastAsia="zh-CN"/>
        </w:rPr>
        <w:t>GO</w:t>
      </w:r>
      <w:r>
        <w:t>5, T</w:t>
      </w:r>
      <w:r>
        <w:rPr>
          <w:rFonts w:hint="eastAsia"/>
          <w:lang w:val="en-US" w:eastAsia="zh-CN"/>
        </w:rPr>
        <w:t>GO</w:t>
      </w:r>
      <w:r>
        <w:t>6, T</w:t>
      </w:r>
      <w:r>
        <w:rPr>
          <w:rFonts w:hint="eastAsia"/>
          <w:lang w:val="en-US" w:eastAsia="zh-CN"/>
        </w:rPr>
        <w:t>GO</w:t>
      </w:r>
      <w:r>
        <w:t>8, and T</w:t>
      </w:r>
      <w:r>
        <w:rPr>
          <w:rFonts w:hint="eastAsia"/>
          <w:lang w:val="en-US" w:eastAsia="zh-CN"/>
        </w:rPr>
        <w:t>GO</w:t>
      </w:r>
      <w:r>
        <w:t xml:space="preserve">9, and it mainly reflected the persistent conditions and long-term drug-related side effects in patients with gout. The contribution rates of the three factors were 34.79%, 11.89%, and 10.86%, respectively. </w:t>
      </w:r>
      <w:r>
        <w:rPr>
          <w:color w:val="000000"/>
        </w:rPr>
        <w:t>Among them, Factor I had the highest contribution r</w:t>
      </w:r>
      <w:r>
        <w:rPr>
          <w:rFonts w:hint="eastAsia"/>
          <w:color w:val="000000"/>
          <w:lang w:eastAsia="zh-CN"/>
        </w:rPr>
        <w:t>ate.</w:t>
      </w:r>
      <w:r>
        <w:rPr>
          <w:color w:val="000000"/>
        </w:rPr>
        <w:t xml:space="preserve"> Broad consistency between the</w:t>
      </w:r>
      <w:r>
        <w:t xml:space="preserve"> items reflected by these factors and the results obtained after screening and discussion of specific module items in the instrument indicates relatively good construct validity of the specific module items. </w:t>
      </w:r>
      <w:r>
        <w:rPr>
          <w:kern w:val="0"/>
        </w:rPr>
        <w:t>The specific module factors and the factor loading coefficients of items are presented in Table 3</w:t>
      </w:r>
      <w:r>
        <w:rPr>
          <w:rFonts w:hint="eastAsia"/>
          <w:kern w:val="0"/>
          <w:lang w:val="en-US" w:eastAsia="zh-CN"/>
        </w:rPr>
        <w:t xml:space="preserve"> and Figure1</w:t>
      </w:r>
      <w:r>
        <w:rPr>
          <w:kern w:val="0"/>
        </w:rPr>
        <w:t>.</w:t>
      </w:r>
    </w:p>
    <w:p>
      <w:pPr>
        <w:pStyle w:val="37"/>
        <w:spacing w:before="120" w:after="156"/>
      </w:pPr>
    </w:p>
    <w:p>
      <w:pPr>
        <w:pStyle w:val="37"/>
        <w:spacing w:before="120" w:after="156"/>
        <w:rPr>
          <w:bCs/>
          <w:szCs w:val="21"/>
        </w:rPr>
      </w:pPr>
      <w:r>
        <w:t xml:space="preserve">Item-dimension correlation: Coefficients of correlation between each item of the QLICD-GO (V2.0) and the scores of the general module’s physical, psychological, and social domains and the gout-specific module were calculated. Correlation analysis showed relatively large coefficients of correlation between most items and their domains but small coefficients of correlation between these items and other domains, and the </w:t>
      </w:r>
      <w:r>
        <w:rPr>
          <w:i/>
          <w:iCs/>
        </w:rPr>
        <w:t>r</w:t>
      </w:r>
      <w:r>
        <w:t xml:space="preserve"> values were mostly above 0.4. For example,</w:t>
      </w:r>
      <w:r>
        <w:rPr>
          <w:rFonts w:hint="eastAsia"/>
          <w:lang w:val="en-US" w:eastAsia="zh-CN"/>
        </w:rPr>
        <w:t xml:space="preserve"> </w:t>
      </w:r>
      <w:r>
        <w:t xml:space="preserve">the items of </w:t>
      </w:r>
      <w:r>
        <w:rPr>
          <w:rFonts w:hint="eastAsia"/>
        </w:rPr>
        <w:t>specific module</w:t>
      </w:r>
      <w:r>
        <w:t xml:space="preserve"> unsurprisingly had closer correlations with the </w:t>
      </w:r>
      <w:r>
        <w:rPr>
          <w:rFonts w:hint="eastAsia"/>
        </w:rPr>
        <w:t>specific module</w:t>
      </w:r>
      <w:r>
        <w:t xml:space="preserve"> </w:t>
      </w:r>
      <w:r>
        <w:rPr>
          <w:rFonts w:hint="eastAsia"/>
        </w:rPr>
        <w:t>areas</w:t>
      </w:r>
      <w:r>
        <w:t xml:space="preserve"> than with the other three </w:t>
      </w:r>
      <w:r>
        <w:rPr>
          <w:rFonts w:hint="eastAsia"/>
        </w:rPr>
        <w:t>areas</w:t>
      </w:r>
      <w:r>
        <w:t>. It can be concluded that there were good correlations between QLICD-GO items and their dimensions and therefore satisfactory construct validity (see Table 4 for details).</w:t>
      </w:r>
    </w:p>
    <w:p>
      <w:pPr>
        <w:ind w:firstLine="630" w:firstLineChars="300"/>
        <w:rPr>
          <w:rFonts w:ascii="Times New Roman" w:hAnsi="Times New Roman" w:cs="Times New Roman"/>
          <w:bCs/>
          <w:szCs w:val="21"/>
        </w:rPr>
      </w:pPr>
      <w:r>
        <w:br w:type="page"/>
      </w:r>
    </w:p>
    <w:p>
      <w:pPr>
        <w:pStyle w:val="37"/>
        <w:spacing w:after="156"/>
        <w:rPr>
          <w:bCs/>
          <w:color w:val="000000"/>
          <w:szCs w:val="21"/>
        </w:rPr>
      </w:pPr>
      <w:r>
        <w:rPr>
          <w:b/>
          <w:bCs/>
        </w:rPr>
        <w:t>2.3.3 Criterion validity</w:t>
      </w:r>
      <w:r>
        <w:t xml:space="preserve"> The role function and the emotional function domain of the SF-36 instrument were weakly correlated with domains of the QLICD-GO (coefficients of correlation &lt;0.4). For the remaining six domains of the SF-36 instrument, the coefficients of correlation with corresponding domains of the QLICD-GO were all &gt;0.4. The coefficients of correlation between the corresponding domains were statistically significant (</w:t>
      </w:r>
      <w:r>
        <w:rPr>
          <w:i/>
        </w:rPr>
        <w:t>P</w:t>
      </w:r>
      <w:r>
        <w:t xml:space="preserve"> &lt; 0.05; </w:t>
      </w:r>
      <w:r>
        <w:rPr>
          <w:rFonts w:hint="eastAsia"/>
          <w:color w:val="000000"/>
        </w:rPr>
        <w:t>Table 5</w:t>
      </w:r>
      <w:r>
        <w:t xml:space="preserve">). The QLICD-GO therefore has relatively good criterion validity. </w:t>
      </w:r>
    </w:p>
    <w:p>
      <w:pPr>
        <w:pStyle w:val="37"/>
        <w:spacing w:after="156"/>
      </w:pPr>
    </w:p>
    <w:p>
      <w:pPr>
        <w:pStyle w:val="29"/>
        <w:spacing w:after="156"/>
      </w:pPr>
      <w:r>
        <w:t>2.4 Responsiveness analysis</w:t>
      </w:r>
    </w:p>
    <w:p>
      <w:pPr>
        <w:pStyle w:val="37"/>
        <w:spacing w:after="156"/>
        <w:rPr>
          <w:lang w:eastAsia="zh-CN"/>
        </w:rPr>
      </w:pPr>
      <w:r>
        <w:t xml:space="preserve">To evaluate the responsiveness of the QLICD-GO (V2.0), differences between pre- and posttreatment scores were calculated for each domain, the general module, and the whole instrument using the paired </w:t>
      </w:r>
      <w:r>
        <w:rPr>
          <w:i/>
          <w:iCs/>
        </w:rPr>
        <w:t>t</w:t>
      </w:r>
      <w:r>
        <w:t xml:space="preserve">-test, and the SRM was also calculated. The </w:t>
      </w:r>
      <w:r>
        <w:rPr>
          <w:color w:val="000000"/>
        </w:rPr>
        <w:t xml:space="preserve">SRM is defined as the absolute ratio </w:t>
      </w:r>
      <w:r>
        <w:rPr>
          <w:color w:val="000000" w:themeColor="text1"/>
          <w14:textFill>
            <w14:solidFill>
              <w14:schemeClr w14:val="tx1"/>
            </w14:solidFill>
          </w14:textFill>
        </w:rPr>
        <w:t>of the mean difference between pre- and posttreatment values to the standard deviation of the difference between pre- and posttreatment values. The analysis showed signif</w:t>
      </w:r>
      <w:r>
        <w:rPr>
          <w:color w:val="000000"/>
        </w:rPr>
        <w:t>icant differences between pre- and posttreatment scores for the domains, the general module, the specific module, and the whole instrument (</w:t>
      </w:r>
      <w:r>
        <w:rPr>
          <w:i/>
          <w:color w:val="000000"/>
        </w:rPr>
        <w:t>P</w:t>
      </w:r>
      <w:r>
        <w:rPr>
          <w:color w:val="000000"/>
        </w:rPr>
        <w:t xml:space="preserve"> &lt; 0.05). The SRMs were above 0.90 for the whole instrument and all domains except psychological function and social function, indicating that the QLICD-GO has favorable responsiveness and is sensitive in reflecting changes in the QOL of patients with gout. </w:t>
      </w:r>
      <w:r>
        <w:t>The details are presented in Table 6</w:t>
      </w:r>
      <w:r>
        <w:rPr>
          <w:rFonts w:hint="eastAsia"/>
          <w:lang w:val="en-US" w:eastAsia="zh-CN"/>
        </w:rPr>
        <w:t xml:space="preserve"> and Figure 2</w:t>
      </w:r>
      <w:r>
        <w:t>.</w:t>
      </w:r>
    </w:p>
    <w:p>
      <w:pPr>
        <w:pStyle w:val="37"/>
        <w:spacing w:after="156"/>
        <w:rPr>
          <w:color w:val="000000"/>
          <w:lang w:eastAsia="zh-CN"/>
        </w:rPr>
      </w:pPr>
    </w:p>
    <w:p>
      <w:pPr>
        <w:pStyle w:val="27"/>
        <w:spacing w:after="156"/>
        <w:rPr>
          <w:rFonts w:hint="default" w:eastAsia="宋体" w:cs="黑体"/>
          <w:bCs/>
          <w:lang w:val="en-US" w:eastAsia="zh-CN"/>
        </w:rPr>
      </w:pPr>
      <w:r>
        <w:rPr>
          <w:rFonts w:hint="eastAsia"/>
        </w:rPr>
        <w:t>3 Discussion</w:t>
      </w:r>
      <w:r>
        <w:rPr>
          <w:rFonts w:hint="eastAsia"/>
          <w:lang w:val="en-US" w:eastAsia="zh-CN"/>
        </w:rPr>
        <w:t xml:space="preserve"> and Conclusion</w:t>
      </w:r>
    </w:p>
    <w:p>
      <w:pPr>
        <w:pStyle w:val="37"/>
        <w:spacing w:after="156"/>
      </w:pPr>
      <w:r>
        <w:t xml:space="preserve">The QLICD-GO (V2.0) has been developed for patients with gout based upon the foundation of the QLICD system, namely, the general module of the QLICD (QLICD-GM). The QLICD-GO </w:t>
      </w:r>
      <w:r>
        <w:rPr>
          <w:rFonts w:hAnsi="宋体"/>
        </w:rPr>
        <w:t xml:space="preserve">reflects the clinical signs and symptoms, drug-related side effects, and psychological changes specific to patients with gout. </w:t>
      </w:r>
      <w:r>
        <w:rPr>
          <w:rFonts w:hint="eastAsia" w:hAnsi="宋体"/>
          <w:lang w:eastAsia="zh-CN"/>
        </w:rPr>
        <w:t>T</w:t>
      </w:r>
      <w:r>
        <w:t xml:space="preserve">he QLICD-GO (V2.0) consists of two parts, the mature general module and the specific module developed in this study, which includes 12 items (six items in clinical signs and symptoms, two items in drug-related side effects, and four items in unique psychological changes). </w:t>
      </w:r>
    </w:p>
    <w:p>
      <w:pPr>
        <w:pStyle w:val="37"/>
        <w:spacing w:after="156"/>
        <w:rPr>
          <w:rStyle w:val="20"/>
          <w:color w:val="auto"/>
          <w:sz w:val="24"/>
          <w:szCs w:val="24"/>
          <w:u w:val="none"/>
        </w:rPr>
      </w:pPr>
      <w:r>
        <w:t>Item screening is one of the key steps in the development of any QOL instrument, which should adhere to the principles of high sensitivity, good representativeness, strong independence, sufficient certainty, and great significance [</w:t>
      </w:r>
      <w:r>
        <w:rPr>
          <w:rFonts w:hint="eastAsia"/>
          <w:lang w:eastAsia="zh-CN"/>
        </w:rPr>
        <w:t>9</w:t>
      </w:r>
      <w:r>
        <w:t>]. Reliability</w:t>
      </w:r>
      <w:r>
        <w:rPr>
          <w:rFonts w:hint="eastAsia"/>
          <w:lang w:eastAsia="zh-CN"/>
        </w:rPr>
        <w:t xml:space="preserve"> </w:t>
      </w:r>
      <w:r>
        <w:t>refers to the repeatability or consistency of item scores [</w:t>
      </w:r>
      <w:r>
        <w:rPr>
          <w:rFonts w:hint="eastAsia"/>
          <w:lang w:eastAsia="zh-CN"/>
        </w:rPr>
        <w:t>10</w:t>
      </w:r>
      <w:r>
        <w:t>]. Validity reflects the degree of conformity between the measured results of the instrument and the expected results [</w:t>
      </w:r>
      <w:r>
        <w:rPr>
          <w:rFonts w:hint="eastAsia"/>
          <w:lang w:eastAsia="zh-CN"/>
        </w:rPr>
        <w:t>11]</w:t>
      </w:r>
      <w:r>
        <w:t>. Content validity refers to whether the selected items are capable of representing the characteristics of the measured content or subject [</w:t>
      </w:r>
      <w:r>
        <w:rPr>
          <w:rFonts w:hint="eastAsia"/>
          <w:lang w:eastAsia="zh-CN"/>
        </w:rPr>
        <w:t>12</w:t>
      </w:r>
      <w:r>
        <w:t>]. Construct validity perform</w:t>
      </w:r>
      <w:r>
        <w:rPr>
          <w:rFonts w:hint="eastAsia"/>
          <w:lang w:eastAsia="zh-CN"/>
        </w:rPr>
        <w:t>s</w:t>
      </w:r>
      <w:r>
        <w:t xml:space="preserve"> a factor analysis of all items based on the results of the survey, and classif</w:t>
      </w:r>
      <w:r>
        <w:rPr>
          <w:rFonts w:hint="eastAsia"/>
          <w:lang w:eastAsia="zh-CN"/>
        </w:rPr>
        <w:t>ies</w:t>
      </w:r>
      <w:r>
        <w:t xml:space="preserve"> the items according to the loading of each item on each factor [1</w:t>
      </w:r>
      <w:r>
        <w:rPr>
          <w:rFonts w:hint="eastAsia"/>
          <w:lang w:eastAsia="zh-CN"/>
        </w:rPr>
        <w:t>3</w:t>
      </w:r>
      <w:r>
        <w:t>]. Responsiveness reflects</w:t>
      </w:r>
      <w:r>
        <w:rPr>
          <w:rFonts w:hint="eastAsia"/>
          <w:lang w:eastAsia="zh-CN"/>
        </w:rPr>
        <w:t xml:space="preserve"> </w:t>
      </w:r>
      <w:r>
        <w:t>the sensitivity to reflect changes in characteristic values of a subject [1</w:t>
      </w:r>
      <w:r>
        <w:rPr>
          <w:rFonts w:hint="eastAsia"/>
          <w:lang w:eastAsia="zh-CN"/>
        </w:rPr>
        <w:t>4</w:t>
      </w:r>
      <w:r>
        <w:t>]. Based on the assessment results, the QLICD-GO (V2.0) has good reliability, validity, and responsiveness. Zhang [1</w:t>
      </w:r>
      <w:r>
        <w:rPr>
          <w:rFonts w:hint="eastAsia"/>
          <w:lang w:eastAsia="zh-CN"/>
        </w:rPr>
        <w:t>5</w:t>
      </w:r>
      <w:r>
        <w:t xml:space="preserve">] has recommended 0.70 as the minimal Cronbach’s α coefficient of internal consistency that would indicate relatively good internal consistency reliability. The Cronbach’s α coefficient of the specific module was 0.81, and the split-half reliability was 0.65 in this study, indicating relatively good reliability of the specific module. The validity of the instrument is relatively good based on content validity, construct validity, and criterion validity. The instrument is sensitive to changes in QOL of patients with gout before and after treatment. </w:t>
      </w:r>
      <w:r>
        <w:rPr>
          <w:lang w:eastAsia="zh-CN"/>
        </w:rPr>
        <w:t>The</w:t>
      </w:r>
      <w:r>
        <w:t xml:space="preserve"> responsiveness of an instrument is considered relatively good if absolute SRM is &gt;0.8, moderate for an absolute SRM of about 0.5, and relatively poor for an absolute SRM of about 0.2 [1</w:t>
      </w:r>
      <w:r>
        <w:rPr>
          <w:rFonts w:hint="eastAsia"/>
          <w:lang w:eastAsia="zh-CN"/>
        </w:rPr>
        <w:t>6</w:t>
      </w:r>
      <w:r>
        <w:t>]. Here the SRM was 0.94 for the specific module, and 1.2 for the whole instrument, indicating relatively good responsiveness of the QLICD-GO.</w:t>
      </w:r>
    </w:p>
    <w:p>
      <w:pPr>
        <w:pStyle w:val="37"/>
        <w:spacing w:after="156"/>
      </w:pPr>
      <w:r>
        <w:t>The QLICD-GO (V2.0) has been carefully developed according to an established scientific program, and it has shown good reliability, validity, and responsiveness in this initial assessment. It can objectively and comprehensively reflect the QOL of patients with gout and can be used by clinical staff to assess treatment regimens. The QLICD-GO (V2.0) was developed in the context of Chinese culture and provides a good basis and platform for measurement and assessment of the QOL of patients with gout in China.</w:t>
      </w:r>
    </w:p>
    <w:p>
      <w:pPr>
        <w:pStyle w:val="37"/>
        <w:spacing w:after="156"/>
      </w:pPr>
      <w:r>
        <w:t>By enabling systematic measurement of the QOL of patients with gout both before and after treatment, the QLICD-GO (V2.0) may aid in public health education and patient-centered clinical research. In addition, more samples are needed to refine the instrument and more efforts are needed to further improve the QOL of patients with gout.</w:t>
      </w:r>
    </w:p>
    <w:p>
      <w:pPr>
        <w:pStyle w:val="37"/>
        <w:spacing w:after="156"/>
        <w:rPr>
          <w:rFonts w:hint="default" w:ascii="Times New Roman" w:hAnsi="Times New Roman" w:cs="Times New Roman"/>
          <w:sz w:val="24"/>
          <w:szCs w:val="24"/>
        </w:rPr>
      </w:pPr>
    </w:p>
    <w:p>
      <w:pPr>
        <w:numPr>
          <w:ilvl w:val="0"/>
          <w:numId w:val="2"/>
        </w:numPr>
        <w:spacing w:after="240" w:line="360" w:lineRule="auto"/>
        <w:ind w:left="0" w:leftChars="0" w:firstLine="0" w:firstLineChars="0"/>
        <w:jc w:val="both"/>
        <w:rPr>
          <w:rFonts w:hint="default" w:ascii="Times New Roman" w:hAnsi="Times New Roman" w:cs="Times New Roman"/>
          <w:b/>
          <w:bCs/>
          <w:sz w:val="24"/>
          <w:szCs w:val="24"/>
        </w:rPr>
      </w:pPr>
      <w:r>
        <w:rPr>
          <w:rFonts w:hint="default" w:ascii="Times New Roman" w:hAnsi="Times New Roman" w:cs="Times New Roman"/>
          <w:b/>
          <w:bCs/>
          <w:sz w:val="24"/>
          <w:szCs w:val="24"/>
        </w:rPr>
        <w:t>Acknowledgments</w:t>
      </w:r>
    </w:p>
    <w:p>
      <w:pPr>
        <w:spacing w:after="24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We thank all the participants for their contribution to this work.</w:t>
      </w:r>
    </w:p>
    <w:p>
      <w:pPr>
        <w:numPr>
          <w:ilvl w:val="0"/>
          <w:numId w:val="2"/>
        </w:numPr>
        <w:spacing w:after="240" w:line="360" w:lineRule="auto"/>
        <w:ind w:left="0" w:leftChars="0" w:firstLine="0" w:firstLineChars="0"/>
        <w:jc w:val="both"/>
        <w:rPr>
          <w:rFonts w:hint="default" w:ascii="Times New Roman" w:hAnsi="Times New Roman" w:cs="Times New Roman"/>
          <w:b/>
          <w:bCs/>
          <w:sz w:val="24"/>
          <w:szCs w:val="24"/>
        </w:rPr>
      </w:pPr>
      <w:r>
        <w:rPr>
          <w:rFonts w:hint="default" w:ascii="Times New Roman" w:hAnsi="Times New Roman" w:cs="Times New Roman"/>
          <w:b/>
          <w:bCs/>
          <w:sz w:val="24"/>
          <w:szCs w:val="24"/>
        </w:rPr>
        <w:t>Author contributions</w:t>
      </w:r>
    </w:p>
    <w:p>
      <w:pPr>
        <w:spacing w:after="240" w:line="360" w:lineRule="auto"/>
        <w:jc w:val="both"/>
        <w:rPr>
          <w:rFonts w:hint="default" w:ascii="Times New Roman" w:hAnsi="Times New Roman" w:cs="Times New Roman"/>
          <w:sz w:val="24"/>
          <w:szCs w:val="24"/>
        </w:rPr>
      </w:pPr>
      <w:r>
        <w:rPr>
          <w:rFonts w:hint="eastAsia" w:ascii="Times New Roman" w:hAnsi="Times New Roman" w:cs="Times New Roman"/>
          <w:sz w:val="24"/>
          <w:szCs w:val="24"/>
          <w:lang w:val="en-US" w:eastAsia="zh-CN"/>
        </w:rPr>
        <w:t>QL L</w:t>
      </w:r>
      <w:r>
        <w:rPr>
          <w:rFonts w:hint="default" w:ascii="Times New Roman" w:hAnsi="Times New Roman" w:cs="Times New Roman"/>
          <w:sz w:val="24"/>
          <w:szCs w:val="24"/>
        </w:rPr>
        <w:t xml:space="preserve"> and </w:t>
      </w:r>
      <w:r>
        <w:rPr>
          <w:rFonts w:hint="eastAsia" w:ascii="Times New Roman" w:hAnsi="Times New Roman" w:cs="Times New Roman"/>
          <w:sz w:val="24"/>
          <w:szCs w:val="24"/>
          <w:lang w:val="en-US" w:eastAsia="zh-CN"/>
        </w:rPr>
        <w:t>X L</w:t>
      </w:r>
      <w:r>
        <w:rPr>
          <w:rFonts w:hint="default" w:ascii="Times New Roman" w:hAnsi="Times New Roman" w:cs="Times New Roman"/>
          <w:sz w:val="24"/>
          <w:szCs w:val="24"/>
        </w:rPr>
        <w:t xml:space="preserve"> contributed equally to this work. </w:t>
      </w:r>
      <w:r>
        <w:rPr>
          <w:rFonts w:hint="eastAsia" w:ascii="Times New Roman" w:hAnsi="Times New Roman" w:cs="Times New Roman"/>
          <w:sz w:val="24"/>
          <w:szCs w:val="24"/>
          <w:lang w:val="en-US" w:eastAsia="zh-CN"/>
        </w:rPr>
        <w:t>QL L</w:t>
      </w:r>
      <w:r>
        <w:rPr>
          <w:rFonts w:hint="default" w:ascii="Times New Roman" w:hAnsi="Times New Roman" w:cs="Times New Roman"/>
          <w:sz w:val="24"/>
          <w:szCs w:val="24"/>
        </w:rPr>
        <w:t xml:space="preserve"> and </w:t>
      </w:r>
      <w:r>
        <w:rPr>
          <w:rFonts w:hint="eastAsia" w:ascii="Times New Roman" w:hAnsi="Times New Roman" w:cs="Times New Roman"/>
          <w:sz w:val="24"/>
          <w:szCs w:val="24"/>
          <w:lang w:val="en-US" w:eastAsia="zh-CN"/>
        </w:rPr>
        <w:t>CH W</w:t>
      </w:r>
      <w:r>
        <w:rPr>
          <w:rFonts w:hint="default" w:ascii="Times New Roman" w:hAnsi="Times New Roman" w:cs="Times New Roman"/>
          <w:sz w:val="24"/>
          <w:szCs w:val="24"/>
        </w:rPr>
        <w:t xml:space="preserve"> designed the study.  </w:t>
      </w:r>
      <w:r>
        <w:rPr>
          <w:rFonts w:hint="eastAsia" w:ascii="Times New Roman" w:hAnsi="Times New Roman" w:cs="Times New Roman"/>
          <w:sz w:val="24"/>
          <w:szCs w:val="24"/>
          <w:lang w:val="en-US" w:eastAsia="zh-CN"/>
        </w:rPr>
        <w:t xml:space="preserve">XH X </w:t>
      </w:r>
      <w:r>
        <w:rPr>
          <w:rFonts w:hint="default" w:ascii="Times New Roman" w:hAnsi="Times New Roman" w:cs="Times New Roman"/>
          <w:sz w:val="24"/>
          <w:szCs w:val="24"/>
        </w:rPr>
        <w:t>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XJ W did the literature search, study quality assessment and data extraction. JW R and </w:t>
      </w:r>
      <w:r>
        <w:rPr>
          <w:rFonts w:hint="eastAsia" w:ascii="Times New Roman" w:hAnsi="Times New Roman" w:cs="Times New Roman"/>
          <w:sz w:val="24"/>
          <w:szCs w:val="24"/>
          <w:lang w:val="en-US" w:eastAsia="zh-CN"/>
        </w:rPr>
        <w:t>XS Z</w:t>
      </w:r>
      <w:r>
        <w:rPr>
          <w:rFonts w:hint="default" w:ascii="Times New Roman" w:hAnsi="Times New Roman" w:cs="Times New Roman"/>
          <w:sz w:val="24"/>
          <w:szCs w:val="24"/>
        </w:rPr>
        <w:t xml:space="preserve"> performed the statistical analysis and drafted the tables and figures. </w:t>
      </w:r>
      <w:r>
        <w:rPr>
          <w:rFonts w:hint="eastAsia" w:ascii="Times New Roman" w:hAnsi="Times New Roman" w:cs="Times New Roman"/>
          <w:sz w:val="24"/>
          <w:szCs w:val="24"/>
          <w:lang w:val="en-US" w:eastAsia="zh-CN"/>
        </w:rPr>
        <w:t>X L</w:t>
      </w:r>
      <w:r>
        <w:rPr>
          <w:rFonts w:hint="default" w:ascii="Times New Roman" w:hAnsi="Times New Roman" w:cs="Times New Roman"/>
          <w:sz w:val="24"/>
          <w:szCs w:val="24"/>
        </w:rPr>
        <w:t xml:space="preserve"> wrote the first draft of this analysis, and </w:t>
      </w:r>
      <w:r>
        <w:rPr>
          <w:rFonts w:hint="eastAsia" w:ascii="Times New Roman" w:hAnsi="Times New Roman" w:cs="Times New Roman"/>
          <w:sz w:val="24"/>
          <w:szCs w:val="24"/>
          <w:lang w:val="en-US" w:eastAsia="zh-CN"/>
        </w:rPr>
        <w:t>QL L</w:t>
      </w:r>
      <w:r>
        <w:rPr>
          <w:rFonts w:hint="default" w:ascii="Times New Roman" w:hAnsi="Times New Roman" w:cs="Times New Roman"/>
          <w:sz w:val="24"/>
          <w:szCs w:val="24"/>
        </w:rPr>
        <w:t xml:space="preserve"> helped to finish the final version. All authors approved the conclusions of our study.</w:t>
      </w:r>
    </w:p>
    <w:p>
      <w:pPr>
        <w:numPr>
          <w:ilvl w:val="0"/>
          <w:numId w:val="2"/>
        </w:numPr>
        <w:spacing w:after="240" w:line="360" w:lineRule="auto"/>
        <w:ind w:left="0" w:leftChars="0" w:firstLine="0" w:firstLineChars="0"/>
        <w:jc w:val="both"/>
        <w:rPr>
          <w:rFonts w:hint="default" w:ascii="Times New Roman" w:hAnsi="Times New Roman" w:cs="Times New Roman"/>
          <w:b/>
          <w:bCs/>
          <w:sz w:val="24"/>
          <w:szCs w:val="24"/>
        </w:rPr>
      </w:pPr>
      <w:r>
        <w:rPr>
          <w:rFonts w:hint="default" w:ascii="Times New Roman" w:hAnsi="Times New Roman" w:cs="Times New Roman"/>
          <w:b/>
          <w:bCs/>
          <w:sz w:val="24"/>
          <w:szCs w:val="24"/>
        </w:rPr>
        <w:t>Abbreviations</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rPr>
        <w:t>QLICD-GO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Quality of Life Instruments for Chronic Diseases-Gout</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rPr>
        <w:t>QLICD</w:t>
      </w:r>
      <w:r>
        <w:rPr>
          <w:rFonts w:hint="eastAsia" w:ascii="Times New Roman" w:hAnsi="Times New Roman" w:cs="Times New Roman"/>
          <w:sz w:val="24"/>
          <w:szCs w:val="24"/>
          <w:lang w:eastAsia="zh-CN"/>
        </w:rPr>
        <w:t>-GM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 Quality of Life Instruments for Chronic Diseases </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QQL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quality of life </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RS: </w:t>
      </w:r>
      <w:r>
        <w:rPr>
          <w:rFonts w:hint="default" w:ascii="Times New Roman" w:hAnsi="Times New Roman" w:cs="Times New Roman"/>
          <w:sz w:val="24"/>
          <w:szCs w:val="24"/>
        </w:rPr>
        <w:t xml:space="preserve">raw score </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SS: </w:t>
      </w:r>
      <w:r>
        <w:rPr>
          <w:rFonts w:hint="default" w:ascii="Times New Roman" w:hAnsi="Times New Roman" w:cs="Times New Roman"/>
          <w:sz w:val="24"/>
          <w:szCs w:val="24"/>
        </w:rPr>
        <w:t>standard score</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SRM: </w:t>
      </w:r>
      <w:r>
        <w:rPr>
          <w:rFonts w:hint="default" w:ascii="Times New Roman" w:hAnsi="Times New Roman" w:cs="Times New Roman"/>
          <w:sz w:val="24"/>
          <w:szCs w:val="24"/>
        </w:rPr>
        <w:t>standardized response mean</w:t>
      </w:r>
    </w:p>
    <w:p>
      <w:pPr>
        <w:numPr>
          <w:ilvl w:val="0"/>
          <w:numId w:val="0"/>
        </w:numPr>
        <w:spacing w:after="240" w:line="360" w:lineRule="auto"/>
        <w:ind w:leftChars="0"/>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SPD: </w:t>
      </w:r>
      <w:r>
        <w:rPr>
          <w:rFonts w:hint="default" w:ascii="Times New Roman" w:hAnsi="Times New Roman" w:cs="Times New Roman"/>
          <w:sz w:val="24"/>
          <w:szCs w:val="24"/>
        </w:rPr>
        <w:t>Specific domain</w:t>
      </w:r>
    </w:p>
    <w:p>
      <w:pPr>
        <w:numPr>
          <w:ilvl w:val="0"/>
          <w:numId w:val="0"/>
        </w:numPr>
        <w:spacing w:after="240" w:line="360" w:lineRule="auto"/>
        <w:ind w:leftChars="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GED: </w:t>
      </w:r>
      <w:r>
        <w:rPr>
          <w:rFonts w:hint="default" w:ascii="Times New Roman" w:hAnsi="Times New Roman" w:cs="Times New Roman"/>
          <w:sz w:val="24"/>
          <w:szCs w:val="24"/>
          <w:lang w:val="en-US" w:eastAsia="zh-CN"/>
        </w:rPr>
        <w:t xml:space="preserve">General </w:t>
      </w:r>
      <w:r>
        <w:rPr>
          <w:rFonts w:hint="eastAsia" w:ascii="Times New Roman" w:hAnsi="Times New Roman" w:cs="Times New Roman"/>
          <w:sz w:val="24"/>
          <w:szCs w:val="24"/>
          <w:lang w:val="en-US" w:eastAsia="zh-CN"/>
        </w:rPr>
        <w:t>domain</w:t>
      </w:r>
    </w:p>
    <w:p>
      <w:pPr>
        <w:numPr>
          <w:ilvl w:val="0"/>
          <w:numId w:val="0"/>
        </w:numPr>
        <w:spacing w:after="240" w:line="360" w:lineRule="auto"/>
        <w:ind w:leftChars="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PHD: </w:t>
      </w:r>
      <w:r>
        <w:rPr>
          <w:rFonts w:hint="default" w:ascii="Times New Roman" w:hAnsi="Times New Roman" w:cs="Times New Roman"/>
          <w:sz w:val="24"/>
          <w:szCs w:val="24"/>
          <w:lang w:val="en-US" w:eastAsia="zh-CN"/>
        </w:rPr>
        <w:t xml:space="preserve">Physical </w:t>
      </w:r>
      <w:r>
        <w:rPr>
          <w:rFonts w:hint="eastAsia" w:ascii="Times New Roman" w:hAnsi="Times New Roman" w:cs="Times New Roman"/>
          <w:sz w:val="24"/>
          <w:szCs w:val="24"/>
          <w:lang w:val="en-US" w:eastAsia="zh-CN"/>
        </w:rPr>
        <w:t>domain</w:t>
      </w:r>
    </w:p>
    <w:p>
      <w:pPr>
        <w:numPr>
          <w:ilvl w:val="0"/>
          <w:numId w:val="0"/>
        </w:numPr>
        <w:spacing w:after="240" w:line="360" w:lineRule="auto"/>
        <w:ind w:leftChars="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PSD: </w:t>
      </w:r>
      <w:r>
        <w:rPr>
          <w:rFonts w:hint="default" w:ascii="Times New Roman" w:hAnsi="Times New Roman" w:cs="Times New Roman"/>
          <w:sz w:val="24"/>
          <w:szCs w:val="24"/>
          <w:lang w:val="en-US" w:eastAsia="zh-CN"/>
        </w:rPr>
        <w:t xml:space="preserve">Psychological </w:t>
      </w:r>
      <w:r>
        <w:rPr>
          <w:rFonts w:hint="eastAsia" w:ascii="Times New Roman" w:hAnsi="Times New Roman" w:cs="Times New Roman"/>
          <w:sz w:val="24"/>
          <w:szCs w:val="24"/>
          <w:lang w:val="en-US" w:eastAsia="zh-CN"/>
        </w:rPr>
        <w:t>domain</w:t>
      </w:r>
    </w:p>
    <w:p>
      <w:pPr>
        <w:numPr>
          <w:ilvl w:val="0"/>
          <w:numId w:val="0"/>
        </w:numPr>
        <w:spacing w:after="240" w:line="360" w:lineRule="auto"/>
        <w:ind w:leftChars="0"/>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SOD: </w:t>
      </w:r>
      <w:r>
        <w:rPr>
          <w:rFonts w:hint="default" w:ascii="Times New Roman" w:hAnsi="Times New Roman" w:cs="Times New Roman"/>
          <w:sz w:val="24"/>
          <w:szCs w:val="24"/>
          <w:lang w:val="en-US" w:eastAsia="zh-CN"/>
        </w:rPr>
        <w:t xml:space="preserve">Social </w:t>
      </w:r>
      <w:r>
        <w:rPr>
          <w:rFonts w:hint="eastAsia" w:ascii="Times New Roman" w:hAnsi="Times New Roman" w:cs="Times New Roman"/>
          <w:sz w:val="24"/>
          <w:szCs w:val="24"/>
          <w:lang w:val="en-US" w:eastAsia="zh-CN"/>
        </w:rPr>
        <w:t>domain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KMO: </w:t>
      </w:r>
      <w:r>
        <w:rPr>
          <w:rFonts w:hint="default" w:ascii="Times New Roman" w:hAnsi="Times New Roman" w:cs="Times New Roman"/>
          <w:sz w:val="24"/>
          <w:szCs w:val="24"/>
          <w:lang w:val="en-US" w:eastAsia="zh-CN"/>
        </w:rPr>
        <w:t>Kaiser-Meyer-Olkin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GPH: </w:t>
      </w:r>
      <w:r>
        <w:rPr>
          <w:rFonts w:hint="default" w:ascii="Times New Roman" w:hAnsi="Times New Roman" w:cs="Times New Roman"/>
          <w:sz w:val="24"/>
          <w:szCs w:val="24"/>
          <w:lang w:val="en-US" w:eastAsia="zh-CN"/>
        </w:rPr>
        <w:t xml:space="preserve">Gout instrument physical </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GPS: </w:t>
      </w:r>
      <w:r>
        <w:rPr>
          <w:rFonts w:hint="default" w:ascii="Times New Roman" w:hAnsi="Times New Roman" w:cs="Times New Roman"/>
          <w:sz w:val="24"/>
          <w:szCs w:val="24"/>
          <w:lang w:val="en-US" w:eastAsia="zh-CN"/>
        </w:rPr>
        <w:t>Gout instrument psychological</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GSO: </w:t>
      </w:r>
      <w:r>
        <w:rPr>
          <w:rFonts w:hint="default" w:ascii="Times New Roman" w:hAnsi="Times New Roman" w:cs="Times New Roman"/>
          <w:sz w:val="24"/>
          <w:szCs w:val="24"/>
          <w:lang w:val="en-US" w:eastAsia="zh-CN"/>
        </w:rPr>
        <w:t>Gout instrument social</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TAR: </w:t>
      </w:r>
      <w:r>
        <w:rPr>
          <w:rFonts w:hint="default" w:ascii="Times New Roman" w:hAnsi="Times New Roman" w:cs="Times New Roman"/>
          <w:sz w:val="24"/>
          <w:szCs w:val="24"/>
          <w:lang w:val="en-US" w:eastAsia="zh-CN"/>
        </w:rPr>
        <w:t>Gout instrument targeted question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PF: </w:t>
      </w:r>
      <w:r>
        <w:rPr>
          <w:rFonts w:hint="default" w:ascii="Times New Roman" w:hAnsi="Times New Roman" w:cs="Times New Roman"/>
          <w:sz w:val="24"/>
          <w:szCs w:val="24"/>
          <w:lang w:val="en-US" w:eastAsia="zh-CN"/>
        </w:rPr>
        <w:t>Physical function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RF: </w:t>
      </w:r>
      <w:r>
        <w:rPr>
          <w:rFonts w:hint="default" w:ascii="Times New Roman" w:hAnsi="Times New Roman" w:cs="Times New Roman"/>
          <w:sz w:val="24"/>
          <w:szCs w:val="24"/>
          <w:lang w:val="en-US" w:eastAsia="zh-CN"/>
        </w:rPr>
        <w:t>Role function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BP: </w:t>
      </w:r>
      <w:r>
        <w:rPr>
          <w:rFonts w:hint="default" w:ascii="Times New Roman" w:hAnsi="Times New Roman" w:cs="Times New Roman"/>
          <w:sz w:val="24"/>
          <w:szCs w:val="24"/>
          <w:lang w:val="en-US" w:eastAsia="zh-CN"/>
        </w:rPr>
        <w:t>Bodily pain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GH: </w:t>
      </w:r>
      <w:r>
        <w:rPr>
          <w:rFonts w:hint="default" w:ascii="Times New Roman" w:hAnsi="Times New Roman" w:cs="Times New Roman"/>
          <w:sz w:val="24"/>
          <w:szCs w:val="24"/>
          <w:lang w:val="en-US" w:eastAsia="zh-CN"/>
        </w:rPr>
        <w:t xml:space="preserve">General health </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SF: </w:t>
      </w:r>
      <w:r>
        <w:rPr>
          <w:rFonts w:hint="default" w:ascii="Times New Roman" w:hAnsi="Times New Roman" w:cs="Times New Roman"/>
          <w:sz w:val="24"/>
          <w:szCs w:val="24"/>
          <w:lang w:val="en-US" w:eastAsia="zh-CN"/>
        </w:rPr>
        <w:t>Social function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RE: </w:t>
      </w:r>
      <w:r>
        <w:rPr>
          <w:rFonts w:hint="default" w:ascii="Times New Roman" w:hAnsi="Times New Roman" w:cs="Times New Roman"/>
          <w:sz w:val="24"/>
          <w:szCs w:val="24"/>
          <w:lang w:val="en-US" w:eastAsia="zh-CN"/>
        </w:rPr>
        <w:t>Role</w:t>
      </w:r>
      <w:r>
        <w:rPr>
          <w:rFonts w:hint="eastAsia" w:ascii="Times New Roman" w:hAnsi="Times New Roman" w:cs="Times New Roman"/>
          <w:sz w:val="24"/>
          <w:szCs w:val="24"/>
          <w:lang w:val="en-US" w:eastAsia="zh-CN"/>
        </w:rPr>
        <w:t xml:space="preserve"> e</w:t>
      </w:r>
      <w:r>
        <w:rPr>
          <w:rFonts w:hint="default" w:ascii="Times New Roman" w:hAnsi="Times New Roman" w:cs="Times New Roman"/>
          <w:sz w:val="24"/>
          <w:szCs w:val="24"/>
          <w:lang w:val="en-US" w:eastAsia="zh-CN"/>
        </w:rPr>
        <w:t>motional</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MH: </w:t>
      </w:r>
      <w:r>
        <w:rPr>
          <w:rFonts w:hint="default" w:ascii="Times New Roman" w:hAnsi="Times New Roman" w:cs="Times New Roman"/>
          <w:sz w:val="24"/>
          <w:szCs w:val="24"/>
          <w:lang w:val="en-US" w:eastAsia="zh-CN"/>
        </w:rPr>
        <w:t>Mental health</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BPF: </w:t>
      </w:r>
      <w:r>
        <w:rPr>
          <w:rFonts w:hint="default" w:ascii="Times New Roman" w:hAnsi="Times New Roman" w:cs="Times New Roman"/>
          <w:sz w:val="24"/>
          <w:szCs w:val="24"/>
          <w:lang w:val="en-US" w:eastAsia="zh-CN"/>
        </w:rPr>
        <w:t>Basic physical function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EAD: </w:t>
      </w:r>
      <w:r>
        <w:rPr>
          <w:rFonts w:hint="default" w:ascii="Times New Roman" w:hAnsi="Times New Roman" w:cs="Times New Roman"/>
          <w:sz w:val="24"/>
          <w:szCs w:val="24"/>
          <w:lang w:val="en-US" w:eastAsia="zh-CN"/>
        </w:rPr>
        <w:t>Energy and discomfort</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SOD: </w:t>
      </w:r>
      <w:r>
        <w:rPr>
          <w:rFonts w:hint="default" w:ascii="Times New Roman" w:hAnsi="Times New Roman" w:cs="Times New Roman"/>
          <w:sz w:val="24"/>
          <w:szCs w:val="24"/>
          <w:lang w:val="en-US" w:eastAsia="zh-CN"/>
        </w:rPr>
        <w:t>Social function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INC: </w:t>
      </w:r>
      <w:r>
        <w:rPr>
          <w:rFonts w:hint="default" w:ascii="Times New Roman" w:hAnsi="Times New Roman" w:cs="Times New Roman"/>
          <w:sz w:val="24"/>
          <w:szCs w:val="24"/>
          <w:lang w:val="en-US" w:eastAsia="zh-CN"/>
        </w:rPr>
        <w:t>Interpersonal communication</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SSS: </w:t>
      </w:r>
      <w:r>
        <w:rPr>
          <w:rFonts w:hint="default" w:ascii="Times New Roman" w:hAnsi="Times New Roman" w:cs="Times New Roman"/>
          <w:sz w:val="24"/>
          <w:szCs w:val="24"/>
          <w:lang w:val="en-US" w:eastAsia="zh-CN"/>
        </w:rPr>
        <w:t>Social support</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SOR: </w:t>
      </w:r>
      <w:r>
        <w:rPr>
          <w:rFonts w:hint="default" w:ascii="Times New Roman" w:hAnsi="Times New Roman" w:cs="Times New Roman"/>
          <w:sz w:val="24"/>
          <w:szCs w:val="24"/>
          <w:lang w:val="en-US" w:eastAsia="zh-CN"/>
        </w:rPr>
        <w:t>Social role</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SAS: </w:t>
      </w:r>
      <w:r>
        <w:rPr>
          <w:rFonts w:hint="default" w:ascii="Times New Roman" w:hAnsi="Times New Roman" w:cs="Times New Roman"/>
          <w:sz w:val="24"/>
          <w:szCs w:val="24"/>
          <w:lang w:val="en-US" w:eastAsia="zh-CN"/>
        </w:rPr>
        <w:t>Symptoms and signs</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DSE: </w:t>
      </w:r>
      <w:r>
        <w:rPr>
          <w:rFonts w:hint="default" w:ascii="Times New Roman" w:hAnsi="Times New Roman" w:cs="Times New Roman"/>
          <w:sz w:val="24"/>
          <w:szCs w:val="24"/>
          <w:lang w:val="en-US" w:eastAsia="zh-CN"/>
        </w:rPr>
        <w:t xml:space="preserve">Drug-related side effects </w:t>
      </w:r>
    </w:p>
    <w:p>
      <w:pPr>
        <w:numPr>
          <w:ilvl w:val="0"/>
          <w:numId w:val="0"/>
        </w:numPr>
        <w:spacing w:after="240"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PC: </w:t>
      </w:r>
      <w:r>
        <w:rPr>
          <w:rFonts w:hint="default" w:ascii="Times New Roman" w:hAnsi="Times New Roman" w:cs="Times New Roman"/>
          <w:sz w:val="24"/>
          <w:szCs w:val="24"/>
          <w:lang w:val="en-US" w:eastAsia="zh-CN"/>
        </w:rPr>
        <w:t>Psychological changes</w:t>
      </w:r>
    </w:p>
    <w:p>
      <w:pPr>
        <w:numPr>
          <w:ilvl w:val="0"/>
          <w:numId w:val="2"/>
        </w:numPr>
        <w:spacing w:after="240" w:line="360" w:lineRule="auto"/>
        <w:ind w:left="0" w:leftChars="0" w:firstLine="0" w:firstLineChars="0"/>
        <w:jc w:val="both"/>
        <w:rPr>
          <w:rFonts w:hint="default" w:ascii="Times New Roman" w:hAnsi="Times New Roman" w:cs="Times New Roman"/>
          <w:b/>
          <w:bCs/>
          <w:sz w:val="24"/>
          <w:szCs w:val="24"/>
        </w:rPr>
      </w:pPr>
      <w:r>
        <w:rPr>
          <w:rFonts w:hint="default" w:ascii="Times New Roman" w:hAnsi="Times New Roman" w:cs="Times New Roman"/>
          <w:b/>
          <w:bCs/>
          <w:sz w:val="24"/>
          <w:szCs w:val="24"/>
        </w:rPr>
        <w:t>Declarations</w:t>
      </w:r>
    </w:p>
    <w:p>
      <w:pPr>
        <w:spacing w:after="240"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Ethics approval and consent to participate:</w:t>
      </w:r>
    </w:p>
    <w:p>
      <w:pPr>
        <w:spacing w:after="24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All procedures performed in studies involving human participants were in accordance with the ethical standards of the institutional and/or national research committee and with the 1964 Helsinki declaration and its later amendments or comparable ethical standards.</w:t>
      </w:r>
    </w:p>
    <w:p>
      <w:pPr>
        <w:spacing w:after="240"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Consent for publication</w:t>
      </w:r>
    </w:p>
    <w:p>
      <w:pPr>
        <w:spacing w:after="24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Not applicable.</w:t>
      </w:r>
    </w:p>
    <w:p>
      <w:pPr>
        <w:spacing w:after="240"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Availability of data and material</w:t>
      </w:r>
    </w:p>
    <w:p>
      <w:pPr>
        <w:spacing w:after="240"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The datasets used and/or analyzed during the current study are available from the corresponding author on reasonable request.</w:t>
      </w:r>
    </w:p>
    <w:p>
      <w:pPr>
        <w:spacing w:after="240" w:line="360" w:lineRule="auto"/>
        <w:jc w:val="both"/>
        <w:rPr>
          <w:rFonts w:hint="default" w:ascii="Times New Roman" w:hAnsi="Times New Roman" w:cs="Times New Roman"/>
          <w:b/>
          <w:bCs/>
          <w:sz w:val="24"/>
          <w:szCs w:val="24"/>
        </w:rPr>
      </w:pPr>
      <w:r>
        <w:rPr>
          <w:rFonts w:hint="default" w:ascii="Times New Roman" w:hAnsi="Times New Roman" w:cs="Times New Roman"/>
          <w:b/>
          <w:bCs/>
          <w:sz w:val="24"/>
          <w:szCs w:val="24"/>
        </w:rPr>
        <w:t>conflict of interest</w:t>
      </w:r>
    </w:p>
    <w:p>
      <w:pPr>
        <w:spacing w:after="240"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authors declared that they have no conflicts of interest to this work.</w:t>
      </w:r>
    </w:p>
    <w:p>
      <w:pPr>
        <w:spacing w:after="240" w:line="360" w:lineRule="auto"/>
        <w:jc w:val="both"/>
        <w:rPr>
          <w:rFonts w:hint="eastAsia" w:ascii="Times New Roman" w:hAnsi="Times New Roman" w:cs="Times New Roman"/>
          <w:b/>
          <w:bCs/>
          <w:sz w:val="24"/>
          <w:szCs w:val="24"/>
        </w:rPr>
      </w:pPr>
      <w:r>
        <w:rPr>
          <w:rFonts w:hint="eastAsia" w:ascii="Times New Roman" w:hAnsi="Times New Roman" w:cs="Times New Roman"/>
          <w:b/>
          <w:bCs/>
          <w:sz w:val="24"/>
          <w:szCs w:val="24"/>
        </w:rPr>
        <w:t>Authors' information</w:t>
      </w:r>
    </w:p>
    <w:p>
      <w:pPr>
        <w:spacing w:after="240" w:line="360" w:lineRule="auto"/>
        <w:jc w:val="both"/>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QLL, </w:t>
      </w:r>
      <w:r>
        <w:rPr>
          <w:rFonts w:hint="eastAsia" w:ascii="Times New Roman" w:hAnsi="Times New Roman" w:cs="Times New Roman"/>
          <w:sz w:val="24"/>
          <w:szCs w:val="24"/>
        </w:rPr>
        <w:t xml:space="preserve">Professor, Master Tutor, </w:t>
      </w:r>
      <w:r>
        <w:rPr>
          <w:rFonts w:hint="default" w:ascii="Times New Roman" w:hAnsi="Times New Roman" w:eastAsia="宋体" w:cs="Times New Roman"/>
          <w:sz w:val="24"/>
          <w:szCs w:val="24"/>
          <w:lang w:val="en-US" w:eastAsia="zh-CN"/>
        </w:rPr>
        <w:t>School of Nursing</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rPr>
        <w:t xml:space="preserve"> Guangdong Medical University.</w:t>
      </w:r>
      <w:r>
        <w:rPr>
          <w:rFonts w:hint="eastAsia" w:ascii="Times New Roman" w:hAnsi="Times New Roman" w:cs="Times New Roman"/>
          <w:sz w:val="24"/>
          <w:szCs w:val="24"/>
          <w:lang w:val="en-US" w:eastAsia="zh-CN"/>
        </w:rPr>
        <w:t xml:space="preserve"> XL, Master Degree Candidate, </w:t>
      </w:r>
      <w:r>
        <w:rPr>
          <w:rFonts w:hint="default" w:ascii="Times New Roman" w:hAnsi="Times New Roman" w:eastAsia="宋体" w:cs="Times New Roman"/>
          <w:sz w:val="24"/>
          <w:szCs w:val="24"/>
          <w:lang w:val="en-US" w:eastAsia="zh-CN"/>
        </w:rPr>
        <w:t>Qingdao West Coast New District People's Hospital</w:t>
      </w:r>
      <w:r>
        <w:rPr>
          <w:rFonts w:hint="eastAsia" w:ascii="Times New Roman" w:hAnsi="Times New Roman" w:cs="Times New Roman"/>
          <w:sz w:val="24"/>
          <w:szCs w:val="24"/>
          <w:lang w:val="en-US" w:eastAsia="zh-CN"/>
        </w:rPr>
        <w:t xml:space="preserve">. XHX, </w:t>
      </w:r>
      <w:r>
        <w:rPr>
          <w:rFonts w:hint="default" w:ascii="Times New Roman" w:hAnsi="Times New Roman" w:eastAsia="宋体" w:cs="Times New Roman"/>
          <w:sz w:val="24"/>
          <w:szCs w:val="24"/>
          <w:lang w:eastAsia="zh-CN"/>
        </w:rPr>
        <w:t>Shenzhen Second People's Hospital</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z w:val="24"/>
          <w:szCs w:val="24"/>
          <w:lang w:val="en-US" w:eastAsia="zh-CN"/>
        </w:rPr>
        <w:t>CHW</w:t>
      </w:r>
      <w:r>
        <w:rPr>
          <w:rFonts w:hint="eastAsia" w:ascii="Times New Roman" w:hAnsi="Times New Roman" w:cs="Times New Roman"/>
          <w:sz w:val="24"/>
          <w:szCs w:val="24"/>
        </w:rPr>
        <w:t xml:space="preserve">, Professor, </w:t>
      </w:r>
      <w:r>
        <w:rPr>
          <w:rFonts w:hint="eastAsia" w:ascii="Times New Roman" w:hAnsi="Times New Roman" w:cs="Times New Roman"/>
          <w:sz w:val="24"/>
          <w:szCs w:val="24"/>
          <w:lang w:val="en-US" w:eastAsia="zh-CN"/>
        </w:rPr>
        <w:t>Doctoral Supervisor</w:t>
      </w:r>
      <w:r>
        <w:rPr>
          <w:rFonts w:hint="eastAsia" w:ascii="Times New Roman" w:hAnsi="Times New Roman" w:cs="Times New Roman"/>
          <w:sz w:val="24"/>
          <w:szCs w:val="24"/>
        </w:rPr>
        <w:t xml:space="preserve">, </w:t>
      </w:r>
      <w:r>
        <w:rPr>
          <w:rFonts w:hint="default" w:ascii="Times New Roman" w:hAnsi="Times New Roman" w:eastAsia="宋体" w:cs="Times New Roman"/>
          <w:b w:val="0"/>
          <w:kern w:val="2"/>
          <w:sz w:val="24"/>
          <w:szCs w:val="24"/>
          <w:lang w:val="en-US" w:eastAsia="zh-CN" w:bidi="ar-SA"/>
        </w:rPr>
        <w:t xml:space="preserve">School of Humanities and </w:t>
      </w:r>
      <w:r>
        <w:rPr>
          <w:rFonts w:hint="default" w:ascii="Times New Roman" w:hAnsi="Times New Roman" w:cs="Times New Roman"/>
          <w:b w:val="0"/>
          <w:kern w:val="2"/>
          <w:sz w:val="24"/>
          <w:szCs w:val="24"/>
          <w:lang w:val="en-US" w:eastAsia="zh-CN" w:bidi="ar-SA"/>
        </w:rPr>
        <w:t>M</w:t>
      </w:r>
      <w:r>
        <w:rPr>
          <w:rFonts w:hint="default" w:ascii="Times New Roman" w:hAnsi="Times New Roman" w:eastAsia="宋体" w:cs="Times New Roman"/>
          <w:b w:val="0"/>
          <w:kern w:val="2"/>
          <w:sz w:val="24"/>
          <w:szCs w:val="24"/>
          <w:lang w:val="en-US" w:eastAsia="zh-CN" w:bidi="ar-SA"/>
        </w:rPr>
        <w:t>anagement</w:t>
      </w:r>
      <w:r>
        <w:rPr>
          <w:rFonts w:hint="default" w:ascii="Times New Roman" w:hAnsi="Times New Roman" w:cs="Times New Roman"/>
          <w:b w:val="0"/>
          <w:kern w:val="2"/>
          <w:sz w:val="24"/>
          <w:szCs w:val="24"/>
          <w:lang w:val="en-US" w:eastAsia="zh-CN" w:bidi="ar-SA"/>
        </w:rPr>
        <w:t>,</w:t>
      </w:r>
      <w:r>
        <w:rPr>
          <w:rFonts w:hint="eastAsia" w:ascii="Times New Roman" w:hAnsi="Times New Roman" w:cs="Times New Roman"/>
          <w:sz w:val="24"/>
          <w:szCs w:val="24"/>
        </w:rPr>
        <w:t xml:space="preserve"> Guangdong Medical University. </w:t>
      </w:r>
      <w:r>
        <w:rPr>
          <w:rFonts w:hint="eastAsia" w:ascii="Times New Roman" w:hAnsi="Times New Roman" w:cs="Times New Roman"/>
          <w:sz w:val="24"/>
          <w:szCs w:val="24"/>
          <w:lang w:val="en-US" w:eastAsia="zh-CN"/>
        </w:rPr>
        <w:t xml:space="preserve">XSZ, </w:t>
      </w:r>
      <w:r>
        <w:rPr>
          <w:rFonts w:hint="eastAsia" w:ascii="Times New Roman" w:hAnsi="Times New Roman" w:cs="Times New Roman"/>
          <w:sz w:val="24"/>
          <w:szCs w:val="24"/>
        </w:rPr>
        <w:t>Graduate Student of Guangdong Medical University</w:t>
      </w:r>
      <w:r>
        <w:rPr>
          <w:rFonts w:hint="eastAsia" w:ascii="Times New Roman" w:hAnsi="Times New Roman" w:cs="Times New Roman"/>
          <w:sz w:val="24"/>
          <w:szCs w:val="24"/>
          <w:lang w:val="en-US" w:eastAsia="zh-CN"/>
        </w:rPr>
        <w:t xml:space="preserve">. JWR, </w:t>
      </w:r>
      <w:r>
        <w:rPr>
          <w:rFonts w:hint="eastAsia" w:ascii="Times New Roman" w:hAnsi="Times New Roman" w:cs="Times New Roman"/>
          <w:sz w:val="24"/>
          <w:szCs w:val="24"/>
        </w:rPr>
        <w:t>Graduate Student of Guangdong Medical University</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XJW,</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Graduate Student of Guangdong Medical University.</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HYP,Associate Professor, Master Tutor, School of Public Health, Guangdong Medical University. </w:t>
      </w:r>
    </w:p>
    <w:p>
      <w:pPr>
        <w:spacing w:after="240" w:line="360" w:lineRule="auto"/>
        <w:jc w:val="both"/>
        <w:rPr>
          <w:rFonts w:hint="default" w:ascii="Times New Roman" w:hAnsi="Times New Roman" w:cs="Times New Roman"/>
          <w:sz w:val="24"/>
          <w:szCs w:val="24"/>
        </w:rPr>
      </w:pPr>
    </w:p>
    <w:p>
      <w:pPr>
        <w:spacing w:line="360" w:lineRule="auto"/>
        <w:rPr>
          <w:rFonts w:ascii="Times New Roman" w:hAnsi="Times New Roman" w:cs="Times New Roman"/>
          <w:sz w:val="24"/>
        </w:rPr>
      </w:pPr>
    </w:p>
    <w:p>
      <w:pPr>
        <w:pStyle w:val="27"/>
        <w:spacing w:after="156"/>
        <w:rPr>
          <w:rFonts w:eastAsia="黑体" w:cs="黑体"/>
          <w:bCs/>
        </w:rPr>
      </w:pPr>
      <w:r>
        <w:rPr>
          <w:rFonts w:hint="eastAsia"/>
        </w:rPr>
        <w:t>References</w:t>
      </w:r>
    </w:p>
    <w:p>
      <w:pPr>
        <w:pStyle w:val="22"/>
        <w:numPr>
          <w:ilvl w:val="0"/>
          <w:numId w:val="4"/>
        </w:numPr>
        <w:spacing w:line="360" w:lineRule="auto"/>
        <w:ind w:left="360" w:hanging="360"/>
        <w:rPr>
          <w:rFonts w:ascii="Times New Roman" w:hAnsi="Times New Roman" w:cs="Times New Roman"/>
          <w:bCs/>
          <w:sz w:val="24"/>
        </w:rPr>
      </w:pPr>
      <w:r>
        <w:rPr>
          <w:rFonts w:ascii="Times New Roman" w:hAnsi="Times New Roman" w:cs="Times New Roman"/>
          <w:sz w:val="24"/>
        </w:rPr>
        <w:t xml:space="preserve">Li D., &amp; Zhang J. (2016). Research advances in modern epidemiology of gout and urate-lowering agents. </w:t>
      </w:r>
      <w:r>
        <w:rPr>
          <w:rFonts w:ascii="Times New Roman" w:hAnsi="Times New Roman" w:cs="Times New Roman"/>
          <w:i/>
          <w:iCs/>
          <w:sz w:val="24"/>
        </w:rPr>
        <w:t xml:space="preserve">Rheumatism and Arthritis, </w:t>
      </w:r>
      <w:r>
        <w:rPr>
          <w:rFonts w:ascii="Times New Roman" w:hAnsi="Times New Roman" w:cs="Times New Roman"/>
          <w:sz w:val="24"/>
        </w:rPr>
        <w:t>(4), 73–76.</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"https://www.ncbi.nlm.nih.gov/pubmed/?term=Li%20Z%5bAuthor%5d&amp;cauthor=true&amp;cauthor_uid=28642574" \h </w:instrText>
      </w:r>
      <w:r>
        <w:fldChar w:fldCharType="separate"/>
      </w:r>
      <w:r>
        <w:rPr>
          <w:rFonts w:ascii="Times New Roman" w:hAnsi="Times New Roman" w:cs="Times New Roman"/>
          <w:sz w:val="24"/>
        </w:rPr>
        <w:t>Li</w:t>
      </w:r>
      <w:r>
        <w:rPr>
          <w:rFonts w:ascii="Times New Roman" w:hAnsi="Times New Roman" w:cs="Times New Roman"/>
          <w:sz w:val="24"/>
        </w:rPr>
        <w:fldChar w:fldCharType="end"/>
      </w:r>
      <w:r>
        <w:rPr>
          <w:rFonts w:ascii="Times New Roman" w:hAnsi="Times New Roman" w:cs="Times New Roman"/>
          <w:sz w:val="24"/>
        </w:rPr>
        <w:t xml:space="preserve"> Z., </w:t>
      </w:r>
      <w:r>
        <w:fldChar w:fldCharType="begin"/>
      </w:r>
      <w:r>
        <w:instrText xml:space="preserve"> HYPERLINK "https://www.ncbi.nlm.nih.gov/pubmed/?term=Zhou%20Z%5bAuthor%5d&amp;cauthor=true&amp;cauthor_uid=28642574" \h </w:instrText>
      </w:r>
      <w:r>
        <w:fldChar w:fldCharType="separate"/>
      </w:r>
      <w:r>
        <w:rPr>
          <w:rFonts w:ascii="Times New Roman" w:hAnsi="Times New Roman" w:cs="Times New Roman"/>
          <w:sz w:val="24"/>
        </w:rPr>
        <w:t>Zhou</w:t>
      </w:r>
      <w:r>
        <w:rPr>
          <w:rFonts w:ascii="Times New Roman" w:hAnsi="Times New Roman" w:cs="Times New Roman"/>
          <w:sz w:val="24"/>
        </w:rPr>
        <w:fldChar w:fldCharType="end"/>
      </w:r>
      <w:r>
        <w:rPr>
          <w:rFonts w:ascii="Times New Roman" w:hAnsi="Times New Roman" w:cs="Times New Roman"/>
          <w:sz w:val="24"/>
        </w:rPr>
        <w:t xml:space="preserve">, Z., </w:t>
      </w:r>
      <w:r>
        <w:fldChar w:fldCharType="begin"/>
      </w:r>
      <w:r>
        <w:instrText xml:space="preserve"> HYPERLINK "https://www.ncbi.nlm.nih.gov/pubmed/?term=Hou%20X%5bAuthor%5d&amp;cauthor=true&amp;cauthor_uid=28642574" \h </w:instrText>
      </w:r>
      <w:r>
        <w:fldChar w:fldCharType="separate"/>
      </w:r>
      <w:r>
        <w:rPr>
          <w:rFonts w:ascii="Times New Roman" w:hAnsi="Times New Roman" w:cs="Times New Roman"/>
          <w:sz w:val="24"/>
        </w:rPr>
        <w:t>Hou</w:t>
      </w:r>
      <w:r>
        <w:rPr>
          <w:rFonts w:ascii="Times New Roman" w:hAnsi="Times New Roman" w:cs="Times New Roman"/>
          <w:sz w:val="24"/>
        </w:rPr>
        <w:fldChar w:fldCharType="end"/>
      </w:r>
      <w:r>
        <w:rPr>
          <w:rFonts w:ascii="Times New Roman" w:hAnsi="Times New Roman" w:cs="Times New Roman"/>
          <w:sz w:val="24"/>
        </w:rPr>
        <w:t xml:space="preserve">, X., et al. (2017). Replication of gout/urate concentrations GWAS susceptibility loci associated with gout in a Han Chinese population. </w:t>
      </w:r>
      <w:r>
        <w:fldChar w:fldCharType="begin"/>
      </w:r>
      <w:r>
        <w:instrText xml:space="preserve"> HYPERLINK "https://www.ncbi.nlm.nih.gov/pmc/articles/PMC5481433/" \h </w:instrText>
      </w:r>
      <w:r>
        <w:fldChar w:fldCharType="separate"/>
      </w:r>
      <w:r>
        <w:rPr>
          <w:rFonts w:ascii="Times New Roman" w:hAnsi="Times New Roman" w:cs="Times New Roman"/>
          <w:i/>
          <w:iCs/>
          <w:sz w:val="24"/>
        </w:rPr>
        <w:t>Scientific Rep</w:t>
      </w:r>
      <w:r>
        <w:rPr>
          <w:rFonts w:ascii="Times New Roman" w:hAnsi="Times New Roman" w:cs="Times New Roman"/>
          <w:i/>
          <w:iCs/>
          <w:sz w:val="24"/>
        </w:rPr>
        <w:fldChar w:fldCharType="end"/>
      </w:r>
      <w:r>
        <w:rPr>
          <w:rFonts w:ascii="Times New Roman" w:hAnsi="Times New Roman" w:cs="Times New Roman"/>
          <w:i/>
          <w:iCs/>
          <w:sz w:val="24"/>
        </w:rPr>
        <w:t>orts, 7</w:t>
      </w:r>
      <w:r>
        <w:rPr>
          <w:rFonts w:ascii="Times New Roman" w:hAnsi="Times New Roman" w:cs="Times New Roman"/>
          <w:sz w:val="24"/>
        </w:rPr>
        <w:t>(1), 4094–4100.</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 xml:space="preserve">Tatlock, S., Rudell, K., Panter, C, et al. (2016). What outcomes are important for gout patients? In-depth qualitative research into the gout patient experience to determine optimal endpoints for evaluating therapeutic interventions. </w:t>
      </w:r>
      <w:r>
        <w:rPr>
          <w:rFonts w:ascii="Times New Roman" w:hAnsi="Times New Roman" w:cs="Times New Roman"/>
          <w:i/>
          <w:iCs/>
          <w:sz w:val="24"/>
        </w:rPr>
        <w:t>Patient, 10</w:t>
      </w:r>
      <w:r>
        <w:rPr>
          <w:rFonts w:ascii="Times New Roman" w:hAnsi="Times New Roman" w:cs="Times New Roman"/>
          <w:sz w:val="24"/>
        </w:rPr>
        <w:t>(1), 65–79.</w:t>
      </w:r>
    </w:p>
    <w:p>
      <w:pPr>
        <w:pStyle w:val="22"/>
        <w:numPr>
          <w:ilvl w:val="0"/>
          <w:numId w:val="4"/>
        </w:numPr>
        <w:spacing w:line="360" w:lineRule="auto"/>
        <w:ind w:left="360" w:hanging="360"/>
        <w:rPr>
          <w:rFonts w:ascii="Times New Roman" w:hAnsi="Times New Roman" w:cs="Times New Roman"/>
          <w:sz w:val="24"/>
        </w:rPr>
      </w:pPr>
      <w:r>
        <w:rPr>
          <w:rFonts w:hint="eastAsia" w:ascii="Times New Roman" w:hAnsi="Times New Roman" w:cs="Times New Roman"/>
          <w:sz w:val="24"/>
        </w:rPr>
        <w:t xml:space="preserve">Rui L,Cheng H,Di W,et al. (2015). Prevalence of Hyperuricemia and Gout in Mainland China from 2000 to 2014::A Systematic Review and Meta-Analysis. </w:t>
      </w:r>
      <w:r>
        <w:rPr>
          <w:rFonts w:hint="eastAsia" w:ascii="Times New Roman" w:hAnsi="Times New Roman" w:cs="Times New Roman"/>
          <w:i/>
          <w:iCs/>
          <w:sz w:val="24"/>
        </w:rPr>
        <w:t>Biomed Res Int</w:t>
      </w:r>
      <w:r>
        <w:rPr>
          <w:rFonts w:hint="eastAsia" w:ascii="Times New Roman" w:hAnsi="Times New Roman" w:cs="Times New Roman"/>
          <w:sz w:val="24"/>
        </w:rPr>
        <w:t>,2015,762820.</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 xml:space="preserve">Shufang Wang, Lizhen Feng, Mei Song, et al. (2016). Epidemiological survey of hyperuricemia and gout in newly recruited young male soldiers in Hohhot City. </w:t>
      </w:r>
      <w:r>
        <w:rPr>
          <w:rFonts w:ascii="Times New Roman" w:hAnsi="Times New Roman" w:cs="Times New Roman"/>
          <w:i/>
          <w:iCs/>
          <w:sz w:val="24"/>
        </w:rPr>
        <w:t>Medical Journal of the Chinese People’s Armed Police Force, 27</w:t>
      </w:r>
      <w:r>
        <w:rPr>
          <w:rFonts w:ascii="Times New Roman" w:hAnsi="Times New Roman" w:cs="Times New Roman"/>
          <w:sz w:val="24"/>
        </w:rPr>
        <w:t>(1), 5–7+11.</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"https://www.ncbi.nlm.nih.gov/pubmed/?term=Wan%20C%5bAuthor%5d&amp;cauthor=true&amp;cauthor_uid=21530153" </w:instrText>
      </w:r>
      <w:r>
        <w:fldChar w:fldCharType="separate"/>
      </w:r>
      <w:r>
        <w:rPr>
          <w:rFonts w:ascii="Times New Roman" w:hAnsi="Times New Roman" w:cs="Times New Roman"/>
          <w:sz w:val="24"/>
        </w:rPr>
        <w:t>Wan C</w:t>
      </w:r>
      <w:r>
        <w:rPr>
          <w:rFonts w:ascii="Times New Roman" w:hAnsi="Times New Roman" w:cs="Times New Roman"/>
          <w:sz w:val="24"/>
        </w:rPr>
        <w:fldChar w:fldCharType="end"/>
      </w:r>
      <w:r>
        <w:rPr>
          <w:rFonts w:ascii="Times New Roman" w:hAnsi="Times New Roman" w:cs="Times New Roman"/>
          <w:sz w:val="24"/>
        </w:rPr>
        <w:t>, </w:t>
      </w:r>
      <w:r>
        <w:rPr>
          <w:rFonts w:ascii="Times New Roman" w:hAnsi="Times New Roman" w:cs="Times New Roman"/>
          <w:sz w:val="24"/>
        </w:rPr>
        <w:fldChar w:fldCharType="begin"/>
      </w:r>
      <w:r>
        <w:rPr>
          <w:rFonts w:ascii="Times New Roman" w:hAnsi="Times New Roman" w:cs="Times New Roman"/>
          <w:sz w:val="24"/>
        </w:rPr>
        <w:instrText xml:space="preserve"> HYPERLINK "https://www.ncbi.nlm.nih.gov/pubmed/?term=Tu X[Author]&amp;cauthor=true&amp;cauthor_uid=21530153" </w:instrText>
      </w:r>
      <w:r>
        <w:rPr>
          <w:rFonts w:ascii="Times New Roman" w:hAnsi="Times New Roman" w:cs="Times New Roman"/>
          <w:sz w:val="24"/>
        </w:rPr>
        <w:fldChar w:fldCharType="separate"/>
      </w:r>
      <w:r>
        <w:rPr>
          <w:rFonts w:ascii="Times New Roman" w:hAnsi="Times New Roman" w:cs="Times New Roman"/>
          <w:sz w:val="24"/>
        </w:rPr>
        <w:t>Tu X</w:t>
      </w:r>
      <w:r>
        <w:rPr>
          <w:rFonts w:ascii="Times New Roman" w:hAnsi="Times New Roman" w:cs="Times New Roman"/>
          <w:sz w:val="24"/>
        </w:rPr>
        <w:fldChar w:fldCharType="end"/>
      </w:r>
      <w:r>
        <w:rPr>
          <w:rFonts w:ascii="Times New Roman" w:hAnsi="Times New Roman" w:cs="Times New Roman"/>
          <w:sz w:val="24"/>
        </w:rPr>
        <w:t>, </w:t>
      </w:r>
      <w:r>
        <w:fldChar w:fldCharType="begin"/>
      </w:r>
      <w:r>
        <w:instrText xml:space="preserve"> HYPERLINK "https://www.ncbi.nlm.nih.gov/pubmed/?term=Messing%20S%5bAuthor%5d&amp;cauthor=true&amp;cauthor_uid=21530153" </w:instrText>
      </w:r>
      <w:r>
        <w:fldChar w:fldCharType="separate"/>
      </w:r>
      <w:r>
        <w:rPr>
          <w:rFonts w:ascii="Times New Roman" w:hAnsi="Times New Roman" w:cs="Times New Roman"/>
          <w:sz w:val="24"/>
        </w:rPr>
        <w:t>Messing S</w:t>
      </w:r>
      <w:r>
        <w:rPr>
          <w:rFonts w:ascii="Times New Roman" w:hAnsi="Times New Roman" w:cs="Times New Roman"/>
          <w:sz w:val="24"/>
        </w:rPr>
        <w:fldChar w:fldCharType="end"/>
      </w:r>
      <w:r>
        <w:rPr>
          <w:rFonts w:hint="eastAsia" w:ascii="Times New Roman" w:hAnsi="Times New Roman" w:cs="Times New Roman"/>
          <w:sz w:val="24"/>
        </w:rPr>
        <w:t xml:space="preserve">, et al. (2010). </w:t>
      </w:r>
      <w:r>
        <w:rPr>
          <w:rFonts w:ascii="Times New Roman" w:hAnsi="Times New Roman" w:cs="Times New Roman"/>
          <w:sz w:val="24"/>
        </w:rPr>
        <w:t>Development and validation of the general module of the system of quality of life instruments for chronic diseases and its comparison with SF-36.</w:t>
      </w:r>
      <w:r>
        <w:fldChar w:fldCharType="begin"/>
      </w:r>
      <w:r>
        <w:instrText xml:space="preserve"> HYPERLINK "https://www.ncbi.nlm.nih.gov/pubmed/21530153" \o "Journal of pain and symptom management." </w:instrText>
      </w:r>
      <w:r>
        <w:fldChar w:fldCharType="separate"/>
      </w:r>
      <w:r>
        <w:rPr>
          <w:rFonts w:ascii="Times New Roman" w:hAnsi="Times New Roman" w:cs="Times New Roman"/>
          <w:i/>
          <w:iCs/>
          <w:sz w:val="24"/>
        </w:rPr>
        <w:t>Journal of</w:t>
      </w:r>
      <w:r>
        <w:rPr>
          <w:rFonts w:hint="eastAsia" w:ascii="Times New Roman" w:hAnsi="Times New Roman" w:cs="Times New Roman"/>
          <w:i/>
          <w:iCs/>
          <w:sz w:val="24"/>
        </w:rPr>
        <w:t xml:space="preserve"> p</w:t>
      </w:r>
      <w:r>
        <w:rPr>
          <w:rFonts w:ascii="Times New Roman" w:hAnsi="Times New Roman" w:cs="Times New Roman"/>
          <w:i/>
          <w:iCs/>
          <w:sz w:val="24"/>
        </w:rPr>
        <w:t xml:space="preserve">ain </w:t>
      </w:r>
      <w:r>
        <w:rPr>
          <w:rFonts w:hint="eastAsia" w:ascii="Times New Roman" w:hAnsi="Times New Roman" w:cs="Times New Roman"/>
          <w:i/>
          <w:iCs/>
          <w:sz w:val="24"/>
        </w:rPr>
        <w:t>and s</w:t>
      </w:r>
      <w:r>
        <w:rPr>
          <w:rFonts w:ascii="Times New Roman" w:hAnsi="Times New Roman" w:cs="Times New Roman"/>
          <w:i/>
          <w:iCs/>
          <w:sz w:val="24"/>
        </w:rPr>
        <w:t xml:space="preserve">ymptom </w:t>
      </w:r>
      <w:r>
        <w:rPr>
          <w:rFonts w:hint="eastAsia" w:ascii="Times New Roman" w:hAnsi="Times New Roman" w:cs="Times New Roman"/>
          <w:i/>
          <w:iCs/>
          <w:sz w:val="24"/>
        </w:rPr>
        <w:t>m</w:t>
      </w:r>
      <w:r>
        <w:rPr>
          <w:rFonts w:ascii="Times New Roman" w:hAnsi="Times New Roman" w:cs="Times New Roman"/>
          <w:i/>
          <w:iCs/>
          <w:sz w:val="24"/>
        </w:rPr>
        <w:t>anage</w:t>
      </w:r>
      <w:r>
        <w:rPr>
          <w:rFonts w:ascii="Times New Roman" w:hAnsi="Times New Roman" w:cs="Times New Roman"/>
          <w:i/>
          <w:iCs/>
          <w:sz w:val="24"/>
        </w:rPr>
        <w:fldChar w:fldCharType="end"/>
      </w:r>
      <w:r>
        <w:rPr>
          <w:rFonts w:hint="eastAsia" w:ascii="Times New Roman" w:hAnsi="Times New Roman" w:cs="Times New Roman"/>
          <w:i/>
          <w:iCs/>
          <w:sz w:val="24"/>
        </w:rPr>
        <w:t>, 42(1)-93-104.</w:t>
      </w:r>
    </w:p>
    <w:p>
      <w:pPr>
        <w:pStyle w:val="22"/>
        <w:numPr>
          <w:ilvl w:val="0"/>
          <w:numId w:val="4"/>
        </w:numPr>
        <w:spacing w:line="360" w:lineRule="auto"/>
        <w:ind w:left="360" w:hanging="360" w:hangingChars="150"/>
        <w:rPr>
          <w:rFonts w:ascii="Times New Roman" w:hAnsi="Times New Roman" w:cs="Times New Roman"/>
          <w:sz w:val="24"/>
        </w:rPr>
      </w:pPr>
      <w:r>
        <w:rPr>
          <w:rFonts w:hint="eastAsia" w:ascii="Times New Roman" w:hAnsi="Times New Roman" w:cs="Times New Roman"/>
          <w:sz w:val="24"/>
        </w:rPr>
        <w:t>Xuejun Zeng. (2015). An int</w:t>
      </w:r>
      <w:r>
        <w:rPr>
          <w:rFonts w:ascii="Times New Roman" w:hAnsi="Times New Roman" w:cs="Times New Roman"/>
          <w:sz w:val="24"/>
        </w:rPr>
        <w:t xml:space="preserve">erpretation of the 2015 American College of Rheumatology/European League Against Rheumatism Gout Classification Criteria. </w:t>
      </w:r>
      <w:r>
        <w:rPr>
          <w:rFonts w:ascii="Times New Roman" w:hAnsi="Times New Roman" w:cs="Times New Roman"/>
          <w:i/>
          <w:iCs/>
          <w:sz w:val="24"/>
        </w:rPr>
        <w:t>Chinese Journal of Allergy and Clinical Immunology, 9</w:t>
      </w:r>
      <w:r>
        <w:rPr>
          <w:rFonts w:ascii="Times New Roman" w:hAnsi="Times New Roman" w:cs="Times New Roman"/>
          <w:sz w:val="24"/>
        </w:rPr>
        <w:t>(4), 235–238.</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 xml:space="preserve">Li Feng. Development and </w:t>
      </w:r>
      <w:r>
        <w:rPr>
          <w:rFonts w:hint="eastAsia" w:ascii="Times New Roman" w:hAnsi="Times New Roman" w:cs="Times New Roman"/>
          <w:sz w:val="24"/>
        </w:rPr>
        <w:t>vali</w:t>
      </w:r>
      <w:r>
        <w:rPr>
          <w:rFonts w:ascii="Times New Roman" w:hAnsi="Times New Roman" w:cs="Times New Roman"/>
          <w:sz w:val="24"/>
        </w:rPr>
        <w:t>dation of the Quality of Life Instrument for Patients with Psoriasis (QLICD-PS V2.0) and its primary clinical applications, Guangdong Medical University, 2015.</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 xml:space="preserve">Saimei Luo, Qiong Meng, Jiahong Luo, et al. (2015). </w:t>
      </w:r>
      <w:r>
        <w:rPr>
          <w:rFonts w:hint="eastAsia" w:ascii="Times New Roman" w:hAnsi="Times New Roman" w:cs="Times New Roman"/>
          <w:sz w:val="24"/>
        </w:rPr>
        <w:t xml:space="preserve">Items </w:t>
      </w:r>
      <w:r>
        <w:rPr>
          <w:rFonts w:ascii="Times New Roman" w:hAnsi="Times New Roman" w:cs="Times New Roman"/>
          <w:sz w:val="24"/>
        </w:rPr>
        <w:t xml:space="preserve">selection </w:t>
      </w:r>
      <w:r>
        <w:rPr>
          <w:rFonts w:hint="eastAsia" w:ascii="Times New Roman" w:hAnsi="Times New Roman" w:cs="Times New Roman"/>
          <w:sz w:val="24"/>
        </w:rPr>
        <w:t xml:space="preserve">on the </w:t>
      </w:r>
      <w:r>
        <w:rPr>
          <w:rFonts w:ascii="Times New Roman" w:hAnsi="Times New Roman" w:cs="Times New Roman"/>
          <w:sz w:val="24"/>
        </w:rPr>
        <w:t>s</w:t>
      </w:r>
      <w:r>
        <w:rPr>
          <w:rFonts w:hint="eastAsia" w:ascii="Times New Roman" w:hAnsi="Times New Roman" w:cs="Times New Roman"/>
          <w:sz w:val="24"/>
        </w:rPr>
        <w:t xml:space="preserve">pecific </w:t>
      </w:r>
      <w:r>
        <w:rPr>
          <w:rFonts w:ascii="Times New Roman" w:hAnsi="Times New Roman" w:cs="Times New Roman"/>
          <w:sz w:val="24"/>
        </w:rPr>
        <w:t>m</w:t>
      </w:r>
      <w:r>
        <w:rPr>
          <w:rFonts w:hint="eastAsia" w:ascii="Times New Roman" w:hAnsi="Times New Roman" w:cs="Times New Roman"/>
          <w:sz w:val="24"/>
        </w:rPr>
        <w:t>odule of Quality of Life Instruments for Patients with Prostate Cancer (QLICP-PR)</w:t>
      </w:r>
      <w:r>
        <w:rPr>
          <w:rFonts w:ascii="Times New Roman" w:hAnsi="Times New Roman" w:cs="Times New Roman"/>
          <w:sz w:val="24"/>
        </w:rPr>
        <w:t xml:space="preserve">. </w:t>
      </w:r>
      <w:r>
        <w:rPr>
          <w:rFonts w:ascii="Times New Roman" w:hAnsi="Times New Roman" w:cs="Times New Roman"/>
          <w:i/>
          <w:iCs/>
          <w:sz w:val="24"/>
        </w:rPr>
        <w:t>Journal of Kunming Medical University, 36</w:t>
      </w:r>
      <w:r>
        <w:rPr>
          <w:rFonts w:ascii="Times New Roman" w:hAnsi="Times New Roman" w:cs="Times New Roman"/>
          <w:sz w:val="24"/>
        </w:rPr>
        <w:t>(11), 39–42.</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"https://www.ncbi.nlm.nih.gov/pubmed/?term=Wan%20C%5bAuthor%5d&amp;cauthor=true&amp;cauthor_uid=24894812" \h </w:instrText>
      </w:r>
      <w:r>
        <w:fldChar w:fldCharType="separate"/>
      </w:r>
      <w:r>
        <w:rPr>
          <w:rFonts w:ascii="Times New Roman" w:hAnsi="Times New Roman" w:cs="Times New Roman"/>
          <w:sz w:val="24"/>
        </w:rPr>
        <w:t>Chonghua Wan</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"https://www.ncbi.nlm.nih.gov/pubmed/?term=Li%20H%5bAuthor%5d&amp;cauthor=true&amp;cauthor_uid=24894812" \h </w:instrText>
      </w:r>
      <w:r>
        <w:fldChar w:fldCharType="separate"/>
      </w:r>
      <w:r>
        <w:rPr>
          <w:rFonts w:ascii="Times New Roman" w:hAnsi="Times New Roman" w:cs="Times New Roman"/>
          <w:sz w:val="24"/>
        </w:rPr>
        <w:t>Hezhan Li</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"https://www.ncbi.nlm.nih.gov/pubmed/?term=Fan%20X%5bAuthor%5d&amp;cauthor=true&amp;cauthor_uid=24894812" \h </w:instrText>
      </w:r>
      <w:r>
        <w:fldChar w:fldCharType="separate"/>
      </w:r>
      <w:r>
        <w:rPr>
          <w:rFonts w:ascii="Times New Roman" w:hAnsi="Times New Roman" w:cs="Times New Roman"/>
          <w:sz w:val="24"/>
        </w:rPr>
        <w:t>Xuejin Fan</w:t>
      </w:r>
      <w:r>
        <w:rPr>
          <w:rFonts w:ascii="Times New Roman" w:hAnsi="Times New Roman" w:cs="Times New Roman"/>
          <w:sz w:val="24"/>
        </w:rPr>
        <w:fldChar w:fldCharType="end"/>
      </w:r>
      <w:r>
        <w:rPr>
          <w:rFonts w:ascii="Times New Roman" w:hAnsi="Times New Roman" w:cs="Times New Roman"/>
          <w:sz w:val="24"/>
        </w:rPr>
        <w:t xml:space="preserve">, et al. </w:t>
      </w:r>
      <w:r>
        <w:rPr>
          <w:rFonts w:hint="eastAsia" w:ascii="Times New Roman" w:hAnsi="Times New Roman" w:cs="Times New Roman"/>
          <w:sz w:val="24"/>
        </w:rPr>
        <w:t>(</w:t>
      </w:r>
      <w:r>
        <w:rPr>
          <w:rFonts w:ascii="Times New Roman" w:hAnsi="Times New Roman" w:cs="Times New Roman"/>
          <w:sz w:val="24"/>
        </w:rPr>
        <w:t>2014</w:t>
      </w:r>
      <w:r>
        <w:rPr>
          <w:rFonts w:hint="eastAsia" w:ascii="Times New Roman" w:hAnsi="Times New Roman" w:cs="Times New Roman"/>
          <w:sz w:val="24"/>
        </w:rPr>
        <w:t xml:space="preserve">). </w:t>
      </w:r>
      <w:r>
        <w:rPr>
          <w:rFonts w:ascii="Times New Roman" w:hAnsi="Times New Roman" w:cs="Times New Roman"/>
          <w:sz w:val="24"/>
        </w:rPr>
        <w:t xml:space="preserve">Development and validation of the coronary heart disease scale under the system of quality of life instruments for chronic diseases QLICD-CHD: combinations of classical test theory and generalizability theory. </w:t>
      </w:r>
      <w:r>
        <w:fldChar w:fldCharType="begin"/>
      </w:r>
      <w:r>
        <w:instrText xml:space="preserve"> HYPERLINK "https://www.ncbi.nlm.nih.gov/pmc/articles/PMC4380110/" \h </w:instrText>
      </w:r>
      <w:r>
        <w:fldChar w:fldCharType="separate"/>
      </w:r>
      <w:r>
        <w:rPr>
          <w:rFonts w:ascii="Times New Roman" w:hAnsi="Times New Roman" w:cs="Times New Roman"/>
          <w:i/>
          <w:sz w:val="24"/>
        </w:rPr>
        <w:t>Health and Quality of Life Outcomes</w:t>
      </w:r>
      <w:r>
        <w:rPr>
          <w:rFonts w:ascii="Times New Roman" w:hAnsi="Times New Roman" w:cs="Times New Roman"/>
          <w:i/>
          <w:sz w:val="24"/>
        </w:rPr>
        <w:fldChar w:fldCharType="end"/>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12(1):82-93.</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"https://www.ncbi.nlm.nih.gov/pubmed/?term=Lenderink%20AF%5bAuthor%5d&amp;cauthor=true&amp;cauthor_uid=21667280" \h </w:instrText>
      </w:r>
      <w:r>
        <w:fldChar w:fldCharType="separate"/>
      </w:r>
      <w:r>
        <w:rPr>
          <w:rFonts w:ascii="Times New Roman" w:hAnsi="Times New Roman" w:cs="Times New Roman"/>
          <w:sz w:val="24"/>
        </w:rPr>
        <w:t>Annet F. Lenderink</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"https://www.ncbi.nlm.nih.gov/pubmed/?term=Zoer%20I%5bAuthor%5d&amp;cauthor=true&amp;cauthor_uid=21667280" \h </w:instrText>
      </w:r>
      <w:r>
        <w:fldChar w:fldCharType="separate"/>
      </w:r>
      <w:r>
        <w:rPr>
          <w:rFonts w:ascii="Times New Roman" w:hAnsi="Times New Roman" w:cs="Times New Roman"/>
          <w:sz w:val="24"/>
        </w:rPr>
        <w:t>Ilona Zoer</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"https://www.ncbi.nlm.nih.gov/pubmed/?term=van%20der%20Molen%20HF%5bAuthor%5d&amp;cauthor=true&amp;cauthor_uid=21667280" \h </w:instrText>
      </w:r>
      <w:r>
        <w:fldChar w:fldCharType="separate"/>
      </w:r>
      <w:r>
        <w:rPr>
          <w:rFonts w:ascii="Times New Roman" w:hAnsi="Times New Roman" w:cs="Times New Roman"/>
          <w:sz w:val="24"/>
        </w:rPr>
        <w:t>Henk F. van der Molen</w:t>
      </w:r>
      <w:r>
        <w:rPr>
          <w:rFonts w:ascii="Times New Roman" w:hAnsi="Times New Roman" w:cs="Times New Roman"/>
          <w:sz w:val="24"/>
        </w:rPr>
        <w:fldChar w:fldCharType="end"/>
      </w:r>
      <w:r>
        <w:rPr>
          <w:rFonts w:ascii="Times New Roman" w:hAnsi="Times New Roman" w:cs="Times New Roman"/>
          <w:sz w:val="24"/>
        </w:rPr>
        <w:t>, et al.</w:t>
      </w:r>
      <w:r>
        <w:rPr>
          <w:rFonts w:hint="eastAsia" w:ascii="Times New Roman" w:hAnsi="Times New Roman" w:cs="Times New Roman"/>
          <w:sz w:val="24"/>
        </w:rPr>
        <w:t xml:space="preserve"> (</w:t>
      </w:r>
      <w:r>
        <w:rPr>
          <w:rFonts w:ascii="Times New Roman" w:hAnsi="Times New Roman" w:cs="Times New Roman"/>
          <w:sz w:val="24"/>
        </w:rPr>
        <w:t>2012</w:t>
      </w:r>
      <w:r>
        <w:rPr>
          <w:rFonts w:hint="eastAsia" w:ascii="Times New Roman" w:hAnsi="Times New Roman" w:cs="Times New Roman"/>
          <w:sz w:val="24"/>
        </w:rPr>
        <w:t>).</w:t>
      </w:r>
      <w:r>
        <w:rPr>
          <w:rFonts w:ascii="Times New Roman" w:hAnsi="Times New Roman" w:cs="Times New Roman"/>
          <w:sz w:val="24"/>
        </w:rPr>
        <w:t xml:space="preserve"> Review on the validity of self-report to assess work-related diseases. </w:t>
      </w:r>
      <w:r>
        <w:fldChar w:fldCharType="begin"/>
      </w:r>
      <w:r>
        <w:instrText xml:space="preserve"> HYPERLINK "https://www.ncbi.nlm.nih.gov/pmc/articles/PMC3299958/" \h </w:instrText>
      </w:r>
      <w:r>
        <w:fldChar w:fldCharType="separate"/>
      </w:r>
      <w:r>
        <w:rPr>
          <w:rFonts w:ascii="Times New Roman" w:hAnsi="Times New Roman" w:cs="Times New Roman"/>
          <w:i/>
          <w:iCs/>
          <w:sz w:val="24"/>
        </w:rPr>
        <w:t>International Archives of Occupational and Environmental Health</w:t>
      </w:r>
      <w:r>
        <w:rPr>
          <w:rFonts w:ascii="Times New Roman" w:hAnsi="Times New Roman" w:cs="Times New Roman"/>
          <w:i/>
          <w:iCs/>
          <w:sz w:val="24"/>
        </w:rPr>
        <w:fldChar w:fldCharType="end"/>
      </w:r>
      <w:r>
        <w:rPr>
          <w:rFonts w:ascii="Times New Roman" w:hAnsi="Times New Roman" w:cs="Times New Roman"/>
          <w:sz w:val="24"/>
        </w:rPr>
        <w:t>, 85(3):229–251.</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Xinping Huang. Development and application of the Quality of Life Instrument for Patients with Chronic Renal Failure (QLICD-CRF), Kunming Medical University, 2012.</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Liuping Chen. Development and its applications of Quality of Life Instruments for Chronic Diseases: Pulmonary Tuberculosis (QLICD-PT), Kunming Medical University, 2012.</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"https://www.ncbi.nlm.nih.gov/pubmed/?term=Sun%20Y%5bAuthor%5d&amp;cauthor=true&amp;cauthor_uid=29996931" \h </w:instrText>
      </w:r>
      <w:r>
        <w:fldChar w:fldCharType="separate"/>
      </w:r>
      <w:r>
        <w:rPr>
          <w:rFonts w:ascii="Times New Roman" w:hAnsi="Times New Roman" w:cs="Times New Roman"/>
          <w:sz w:val="24"/>
        </w:rPr>
        <w:t>Yanchun Sun</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"https://www.ncbi.nlm.nih.gov/pubmed/?term=Yang%20Z%5bAuthor%5d&amp;cauthor=true&amp;cauthor_uid=29996931" \h </w:instrText>
      </w:r>
      <w:r>
        <w:fldChar w:fldCharType="separate"/>
      </w:r>
      <w:r>
        <w:rPr>
          <w:rFonts w:ascii="Times New Roman" w:hAnsi="Times New Roman" w:cs="Times New Roman"/>
          <w:sz w:val="24"/>
        </w:rPr>
        <w:t>Zheng Yang</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"https://www.ncbi.nlm.nih.gov/pubmed/?term=Wan%20C%5bAuthor%5d&amp;cauthor=true&amp;cauthor_uid=29996931" \h </w:instrText>
      </w:r>
      <w:r>
        <w:fldChar w:fldCharType="separate"/>
      </w:r>
      <w:r>
        <w:rPr>
          <w:rFonts w:ascii="Times New Roman" w:hAnsi="Times New Roman" w:cs="Times New Roman"/>
          <w:sz w:val="24"/>
        </w:rPr>
        <w:t>Chonghua Wan</w:t>
      </w:r>
      <w:r>
        <w:rPr>
          <w:rFonts w:ascii="Times New Roman" w:hAnsi="Times New Roman" w:cs="Times New Roman"/>
          <w:sz w:val="24"/>
        </w:rPr>
        <w:fldChar w:fldCharType="end"/>
      </w:r>
      <w:r>
        <w:rPr>
          <w:rFonts w:ascii="Times New Roman" w:hAnsi="Times New Roman" w:cs="Times New Roman"/>
          <w:sz w:val="24"/>
        </w:rPr>
        <w:t xml:space="preserve">, et al. </w:t>
      </w:r>
      <w:r>
        <w:rPr>
          <w:rFonts w:hint="eastAsia" w:ascii="Times New Roman" w:hAnsi="Times New Roman" w:cs="Times New Roman"/>
          <w:sz w:val="24"/>
        </w:rPr>
        <w:t>(</w:t>
      </w:r>
      <w:r>
        <w:rPr>
          <w:rFonts w:ascii="Times New Roman" w:hAnsi="Times New Roman" w:cs="Times New Roman"/>
          <w:sz w:val="24"/>
        </w:rPr>
        <w:t>2018</w:t>
      </w:r>
      <w:r>
        <w:rPr>
          <w:rFonts w:hint="eastAsia" w:ascii="Times New Roman" w:hAnsi="Times New Roman" w:cs="Times New Roman"/>
          <w:sz w:val="24"/>
        </w:rPr>
        <w:t xml:space="preserve">). </w:t>
      </w:r>
      <w:r>
        <w:rPr>
          <w:rFonts w:ascii="Times New Roman" w:hAnsi="Times New Roman" w:cs="Times New Roman"/>
          <w:sz w:val="24"/>
        </w:rPr>
        <w:t xml:space="preserve">Development and validation of the pulmonary tuberculosis scale of the system of Quality of Life Instruments for Chronic Diseases (QLICD-PT) </w:t>
      </w:r>
      <w:r>
        <w:fldChar w:fldCharType="begin"/>
      </w:r>
      <w:r>
        <w:instrText xml:space="preserve"> HYPERLINK "https://www.ncbi.nlm.nih.gov/pmc/articles/PMC4380110/" \h </w:instrText>
      </w:r>
      <w:r>
        <w:fldChar w:fldCharType="separate"/>
      </w:r>
      <w:r>
        <w:rPr>
          <w:rFonts w:ascii="Times New Roman" w:hAnsi="Times New Roman" w:cs="Times New Roman"/>
          <w:i/>
          <w:sz w:val="24"/>
        </w:rPr>
        <w:t>Health and Quality of Life Outcomes</w:t>
      </w:r>
      <w:r>
        <w:rPr>
          <w:rFonts w:ascii="Times New Roman" w:hAnsi="Times New Roman" w:cs="Times New Roman"/>
          <w:i/>
          <w:sz w:val="24"/>
        </w:rPr>
        <w:fldChar w:fldCharType="end"/>
      </w:r>
      <w:r>
        <w:rPr>
          <w:rFonts w:ascii="Times New Roman" w:hAnsi="Times New Roman" w:cs="Times New Roman"/>
          <w:sz w:val="24"/>
        </w:rPr>
        <w:t>, 16(1):137-147.</w:t>
      </w:r>
    </w:p>
    <w:p>
      <w:pPr>
        <w:pStyle w:val="22"/>
        <w:numPr>
          <w:ilvl w:val="0"/>
          <w:numId w:val="4"/>
        </w:numPr>
        <w:spacing w:line="360" w:lineRule="auto"/>
        <w:ind w:left="300" w:hanging="300" w:hangingChars="150"/>
        <w:rPr>
          <w:rFonts w:ascii="Times New Roman" w:hAnsi="Times New Roman" w:cs="Times New Roman"/>
          <w:sz w:val="24"/>
        </w:rPr>
      </w:pPr>
      <w:r>
        <w:fldChar w:fldCharType="begin"/>
      </w:r>
      <w:r>
        <w:instrText xml:space="preserve"> HYPERLINK "https://www.ncbi.nlm.nih.gov/pubmed/?term=Zhang%20Y%5bAuthor%5d&amp;cauthor=true&amp;cauthor_uid=25889912" \h </w:instrText>
      </w:r>
      <w:r>
        <w:fldChar w:fldCharType="separate"/>
      </w:r>
      <w:r>
        <w:rPr>
          <w:rFonts w:ascii="Times New Roman" w:hAnsi="Times New Roman" w:cs="Times New Roman"/>
          <w:sz w:val="24"/>
        </w:rPr>
        <w:t>Yilong Zhang</w:t>
      </w:r>
      <w:r>
        <w:rPr>
          <w:rFonts w:ascii="Times New Roman" w:hAnsi="Times New Roman" w:cs="Times New Roman"/>
          <w:sz w:val="24"/>
        </w:rPr>
        <w:fldChar w:fldCharType="end"/>
      </w:r>
      <w:r>
        <w:rPr>
          <w:rFonts w:ascii="Times New Roman" w:hAnsi="Times New Roman" w:cs="Times New Roman"/>
          <w:sz w:val="24"/>
        </w:rPr>
        <w:t xml:space="preserve">, </w:t>
      </w:r>
      <w:r>
        <w:fldChar w:fldCharType="begin"/>
      </w:r>
      <w:r>
        <w:instrText xml:space="preserve"> HYPERLINK "https://www.ncbi.nlm.nih.gov/pubmed/?term=Zhou%20F%5bAuthor%5d&amp;amp;cauthor=true&amp;amp;cauthor_uid=25889912" </w:instrText>
      </w:r>
      <w:r>
        <w:fldChar w:fldCharType="separate"/>
      </w:r>
      <w:r>
        <w:rPr>
          <w:rFonts w:ascii="Times New Roman" w:hAnsi="Times New Roman" w:cs="Times New Roman"/>
          <w:sz w:val="24"/>
        </w:rPr>
        <w:t>Feifei Zhou</w:t>
      </w:r>
      <w:r>
        <w:rPr>
          <w:rFonts w:ascii="Times New Roman" w:hAnsi="Times New Roman" w:cs="Times New Roman"/>
          <w:sz w:val="24"/>
        </w:rPr>
        <w:fldChar w:fldCharType="end"/>
      </w:r>
      <w:r>
        <w:rPr>
          <w:rFonts w:ascii="Times New Roman" w:hAnsi="Times New Roman" w:cs="Times New Roman"/>
          <w:sz w:val="24"/>
        </w:rPr>
        <w:t xml:space="preserve">, &amp; </w:t>
      </w:r>
      <w:r>
        <w:fldChar w:fldCharType="begin"/>
      </w:r>
      <w:r>
        <w:instrText xml:space="preserve"> HYPERLINK "https://www.ncbi.nlm.nih.gov/pubmed/?term=Sun%20Y%5bAuthor%5d&amp;cauthor=true&amp;cauthor_uid=25889912" \h </w:instrText>
      </w:r>
      <w:r>
        <w:fldChar w:fldCharType="separate"/>
      </w:r>
      <w:r>
        <w:rPr>
          <w:rFonts w:ascii="Times New Roman" w:hAnsi="Times New Roman" w:cs="Times New Roman"/>
          <w:sz w:val="24"/>
        </w:rPr>
        <w:t>Yu Sun</w:t>
      </w:r>
      <w:r>
        <w:rPr>
          <w:rFonts w:ascii="Times New Roman" w:hAnsi="Times New Roman" w:cs="Times New Roman"/>
          <w:sz w:val="24"/>
        </w:rPr>
        <w:fldChar w:fldCharType="end"/>
      </w:r>
      <w:r>
        <w:rPr>
          <w:rFonts w:ascii="Times New Roman" w:hAnsi="Times New Roman" w:cs="Times New Roman"/>
          <w:sz w:val="24"/>
        </w:rPr>
        <w:t xml:space="preserve">. </w:t>
      </w:r>
      <w:r>
        <w:rPr>
          <w:rFonts w:hint="eastAsia" w:ascii="Times New Roman" w:hAnsi="Times New Roman" w:cs="Times New Roman"/>
          <w:sz w:val="24"/>
        </w:rPr>
        <w:t>(</w:t>
      </w:r>
      <w:r>
        <w:rPr>
          <w:rFonts w:ascii="Times New Roman" w:hAnsi="Times New Roman" w:cs="Times New Roman"/>
          <w:sz w:val="24"/>
        </w:rPr>
        <w:t>2015</w:t>
      </w:r>
      <w:r>
        <w:rPr>
          <w:rFonts w:hint="eastAsia" w:ascii="Times New Roman" w:hAnsi="Times New Roman" w:cs="Times New Roman"/>
          <w:sz w:val="24"/>
        </w:rPr>
        <w:t xml:space="preserve">). </w:t>
      </w:r>
      <w:r>
        <w:rPr>
          <w:rFonts w:ascii="Times New Roman" w:hAnsi="Times New Roman" w:cs="Times New Roman"/>
          <w:sz w:val="24"/>
        </w:rPr>
        <w:t xml:space="preserve">Assessment of health-related quality of life using the SF-36 in Chinese cervical spondylotic myelopathy patients after surgery and its consistency with neurological function assessment: a cohort study[J]. </w:t>
      </w:r>
      <w:r>
        <w:fldChar w:fldCharType="begin"/>
      </w:r>
      <w:r>
        <w:instrText xml:space="preserve"> HYPERLINK "https://www.ncbi.nlm.nih.gov/pmc/articles/PMC4380110/" \h </w:instrText>
      </w:r>
      <w:r>
        <w:fldChar w:fldCharType="separate"/>
      </w:r>
      <w:r>
        <w:rPr>
          <w:rFonts w:ascii="Times New Roman" w:hAnsi="Times New Roman" w:cs="Times New Roman"/>
          <w:i/>
          <w:sz w:val="24"/>
        </w:rPr>
        <w:t>Health and Quality of Life Outcomes</w:t>
      </w:r>
      <w:r>
        <w:rPr>
          <w:rFonts w:ascii="Times New Roman" w:hAnsi="Times New Roman" w:cs="Times New Roman"/>
          <w:i/>
          <w:sz w:val="24"/>
        </w:rPr>
        <w:fldChar w:fldCharType="end"/>
      </w:r>
      <w:r>
        <w:rPr>
          <w:rFonts w:ascii="Times New Roman" w:hAnsi="Times New Roman" w:cs="Times New Roman"/>
          <w:sz w:val="24"/>
        </w:rPr>
        <w:t>, 13(01):39-46.</w:t>
      </w:r>
    </w:p>
    <w:p>
      <w:pPr>
        <w:pStyle w:val="22"/>
        <w:numPr>
          <w:ilvl w:val="0"/>
          <w:numId w:val="4"/>
        </w:numPr>
        <w:spacing w:line="360" w:lineRule="auto"/>
        <w:ind w:left="360" w:hanging="360" w:hangingChars="150"/>
        <w:rPr>
          <w:rFonts w:ascii="Times New Roman" w:hAnsi="Times New Roman" w:cs="Times New Roman"/>
          <w:sz w:val="24"/>
        </w:rPr>
      </w:pPr>
      <w:r>
        <w:rPr>
          <w:rFonts w:ascii="Times New Roman" w:hAnsi="Times New Roman" w:cs="Times New Roman"/>
          <w:sz w:val="24"/>
        </w:rPr>
        <w:t xml:space="preserve">Zhenqiu Sun, Yongyong Xu. </w:t>
      </w:r>
      <w:r>
        <w:rPr>
          <w:rFonts w:hint="eastAsia" w:ascii="Times New Roman" w:hAnsi="Times New Roman" w:cs="Times New Roman"/>
          <w:sz w:val="24"/>
        </w:rPr>
        <w:t>(</w:t>
      </w:r>
      <w:r>
        <w:rPr>
          <w:rFonts w:ascii="Times New Roman" w:hAnsi="Times New Roman" w:cs="Times New Roman"/>
          <w:sz w:val="24"/>
        </w:rPr>
        <w:t>2010</w:t>
      </w:r>
      <w:r>
        <w:rPr>
          <w:rFonts w:hint="eastAsia" w:ascii="Times New Roman" w:hAnsi="Times New Roman" w:cs="Times New Roman"/>
          <w:sz w:val="24"/>
        </w:rPr>
        <w:t xml:space="preserve">). </w:t>
      </w:r>
      <w:r>
        <w:rPr>
          <w:rFonts w:ascii="Times New Roman" w:hAnsi="Times New Roman" w:cs="Times New Roman"/>
          <w:i/>
          <w:iCs/>
          <w:sz w:val="24"/>
        </w:rPr>
        <w:t>Medical Statistics</w:t>
      </w:r>
      <w:r>
        <w:rPr>
          <w:rFonts w:ascii="Times New Roman" w:hAnsi="Times New Roman" w:cs="Times New Roman"/>
          <w:sz w:val="24"/>
        </w:rPr>
        <w:t>, Third Edition. Beijing: People’s Medical Publishing House</w:t>
      </w:r>
      <w:r>
        <w:rPr>
          <w:rFonts w:hint="eastAsia" w:ascii="Times New Roman" w:hAnsi="Times New Roman" w:cs="Times New Roman"/>
          <w:sz w:val="24"/>
        </w:rPr>
        <w:t xml:space="preserve">, </w:t>
      </w:r>
      <w:r>
        <w:rPr>
          <w:rFonts w:ascii="Times New Roman" w:hAnsi="Times New Roman" w:cs="Times New Roman"/>
          <w:sz w:val="24"/>
        </w:rPr>
        <w:t>3:435–439.</w:t>
      </w:r>
    </w:p>
    <w:p>
      <w:pPr>
        <w:rPr>
          <w:rFonts w:ascii="宋体" w:hAnsi="宋体" w:eastAsia="宋体" w:cs="宋体"/>
          <w:b/>
          <w:bCs/>
          <w:kern w:val="0"/>
          <w:sz w:val="24"/>
          <w:szCs w:val="22"/>
        </w:rPr>
      </w:pPr>
    </w:p>
    <w:p>
      <w:pPr>
        <w:rPr>
          <w:rFonts w:ascii="宋体" w:hAnsi="宋体" w:eastAsia="宋体" w:cs="宋体"/>
          <w:b/>
          <w:bCs/>
          <w:kern w:val="0"/>
          <w:sz w:val="24"/>
          <w:szCs w:val="22"/>
        </w:rPr>
      </w:pPr>
    </w:p>
    <w:sectPr>
      <w:footerReference r:id="rId3" w:type="default"/>
      <w:pgSz w:w="11906" w:h="16838"/>
      <w:pgMar w:top="1440" w:right="1800" w:bottom="1440" w:left="1800" w:header="851" w:footer="992" w:gutter="0"/>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19843"/>
    </w:sdtPr>
    <w:sdtContent>
      <w:p>
        <w:pPr>
          <w:pStyle w:val="1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5A86D0"/>
    <w:multiLevelType w:val="singleLevel"/>
    <w:tmpl w:val="D05A86D0"/>
    <w:lvl w:ilvl="0" w:tentative="0">
      <w:start w:val="1"/>
      <w:numFmt w:val="decimal"/>
      <w:lvlText w:val="%1."/>
      <w:lvlJc w:val="left"/>
      <w:pPr>
        <w:tabs>
          <w:tab w:val="left" w:pos="312"/>
        </w:tabs>
      </w:pPr>
    </w:lvl>
  </w:abstractNum>
  <w:abstractNum w:abstractNumId="1">
    <w:nsid w:val="1C8BB0AD"/>
    <w:multiLevelType w:val="multilevel"/>
    <w:tmpl w:val="1C8BB0AD"/>
    <w:lvl w:ilvl="0" w:tentative="0">
      <w:start w:val="1"/>
      <w:numFmt w:val="decimal"/>
      <w:pStyle w:val="2"/>
      <w:lvlText w:val="%1."/>
      <w:lvlJc w:val="left"/>
      <w:pPr>
        <w:ind w:left="432" w:hanging="432"/>
      </w:pPr>
      <w:rPr>
        <w:rFonts w:hint="default"/>
        <w:sz w:val="24"/>
        <w:szCs w:val="24"/>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2">
    <w:nsid w:val="35316061"/>
    <w:multiLevelType w:val="singleLevel"/>
    <w:tmpl w:val="35316061"/>
    <w:lvl w:ilvl="0" w:tentative="0">
      <w:start w:val="1"/>
      <w:numFmt w:val="decimal"/>
      <w:lvlText w:val="[%1]"/>
      <w:lvlJc w:val="left"/>
    </w:lvl>
  </w:abstractNum>
  <w:abstractNum w:abstractNumId="3">
    <w:nsid w:val="511469C3"/>
    <w:multiLevelType w:val="singleLevel"/>
    <w:tmpl w:val="511469C3"/>
    <w:lvl w:ilvl="0" w:tentative="0">
      <w:start w:val="5"/>
      <w:numFmt w:val="decimal"/>
      <w:suff w:val="space"/>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896"/>
    <w:rsid w:val="0003667F"/>
    <w:rsid w:val="000414B8"/>
    <w:rsid w:val="000A4DE7"/>
    <w:rsid w:val="000A786E"/>
    <w:rsid w:val="000C1CCF"/>
    <w:rsid w:val="000C2843"/>
    <w:rsid w:val="000D7151"/>
    <w:rsid w:val="000E4CA2"/>
    <w:rsid w:val="00111B19"/>
    <w:rsid w:val="00114453"/>
    <w:rsid w:val="001265CF"/>
    <w:rsid w:val="00135C6B"/>
    <w:rsid w:val="00153888"/>
    <w:rsid w:val="00157A4A"/>
    <w:rsid w:val="00181D01"/>
    <w:rsid w:val="00192175"/>
    <w:rsid w:val="00193ACC"/>
    <w:rsid w:val="001A7836"/>
    <w:rsid w:val="001C36DC"/>
    <w:rsid w:val="00222AEF"/>
    <w:rsid w:val="002360FD"/>
    <w:rsid w:val="0025641C"/>
    <w:rsid w:val="002671EE"/>
    <w:rsid w:val="00274896"/>
    <w:rsid w:val="0028377A"/>
    <w:rsid w:val="002907C1"/>
    <w:rsid w:val="002A5C57"/>
    <w:rsid w:val="002C4282"/>
    <w:rsid w:val="002C48D8"/>
    <w:rsid w:val="002D4250"/>
    <w:rsid w:val="002E7910"/>
    <w:rsid w:val="003159AA"/>
    <w:rsid w:val="00320A88"/>
    <w:rsid w:val="00321E19"/>
    <w:rsid w:val="00336F3A"/>
    <w:rsid w:val="003456AD"/>
    <w:rsid w:val="00353688"/>
    <w:rsid w:val="003A67C7"/>
    <w:rsid w:val="003D03B7"/>
    <w:rsid w:val="003F4981"/>
    <w:rsid w:val="00412163"/>
    <w:rsid w:val="00415822"/>
    <w:rsid w:val="00426438"/>
    <w:rsid w:val="0043669D"/>
    <w:rsid w:val="00444739"/>
    <w:rsid w:val="00450ED4"/>
    <w:rsid w:val="00454FB1"/>
    <w:rsid w:val="00492C85"/>
    <w:rsid w:val="004957D5"/>
    <w:rsid w:val="00496385"/>
    <w:rsid w:val="004A30E3"/>
    <w:rsid w:val="004A49A7"/>
    <w:rsid w:val="004A4FA1"/>
    <w:rsid w:val="004A5F7D"/>
    <w:rsid w:val="004F6313"/>
    <w:rsid w:val="00502BA5"/>
    <w:rsid w:val="00523694"/>
    <w:rsid w:val="0054154F"/>
    <w:rsid w:val="00541F08"/>
    <w:rsid w:val="0054717A"/>
    <w:rsid w:val="005722AD"/>
    <w:rsid w:val="005803F7"/>
    <w:rsid w:val="0058090E"/>
    <w:rsid w:val="005A764F"/>
    <w:rsid w:val="005F7CA7"/>
    <w:rsid w:val="00611623"/>
    <w:rsid w:val="00625893"/>
    <w:rsid w:val="0063325A"/>
    <w:rsid w:val="00647CF2"/>
    <w:rsid w:val="00661418"/>
    <w:rsid w:val="00682792"/>
    <w:rsid w:val="00697F4C"/>
    <w:rsid w:val="006A6FC9"/>
    <w:rsid w:val="006E460B"/>
    <w:rsid w:val="006E7918"/>
    <w:rsid w:val="006F04E2"/>
    <w:rsid w:val="00700DDD"/>
    <w:rsid w:val="007038B7"/>
    <w:rsid w:val="00710876"/>
    <w:rsid w:val="0071121F"/>
    <w:rsid w:val="00770F02"/>
    <w:rsid w:val="0077259A"/>
    <w:rsid w:val="00785884"/>
    <w:rsid w:val="0079569E"/>
    <w:rsid w:val="00797F1C"/>
    <w:rsid w:val="007A58DC"/>
    <w:rsid w:val="007B1661"/>
    <w:rsid w:val="007B16D1"/>
    <w:rsid w:val="007C1FFB"/>
    <w:rsid w:val="007C7FBC"/>
    <w:rsid w:val="007D0D00"/>
    <w:rsid w:val="007E2656"/>
    <w:rsid w:val="0080725C"/>
    <w:rsid w:val="0081212D"/>
    <w:rsid w:val="00814457"/>
    <w:rsid w:val="008233D6"/>
    <w:rsid w:val="008240E7"/>
    <w:rsid w:val="0082495E"/>
    <w:rsid w:val="00833056"/>
    <w:rsid w:val="00857950"/>
    <w:rsid w:val="00871B33"/>
    <w:rsid w:val="00875026"/>
    <w:rsid w:val="00881B20"/>
    <w:rsid w:val="008F6C90"/>
    <w:rsid w:val="00934D62"/>
    <w:rsid w:val="00941F80"/>
    <w:rsid w:val="0097321B"/>
    <w:rsid w:val="0099427F"/>
    <w:rsid w:val="00995553"/>
    <w:rsid w:val="00996374"/>
    <w:rsid w:val="009B03D1"/>
    <w:rsid w:val="009D60DA"/>
    <w:rsid w:val="009F4455"/>
    <w:rsid w:val="00A1080F"/>
    <w:rsid w:val="00A121D9"/>
    <w:rsid w:val="00A158C8"/>
    <w:rsid w:val="00A248FC"/>
    <w:rsid w:val="00A3151C"/>
    <w:rsid w:val="00A525C8"/>
    <w:rsid w:val="00A56752"/>
    <w:rsid w:val="00A620D3"/>
    <w:rsid w:val="00A816B2"/>
    <w:rsid w:val="00A85259"/>
    <w:rsid w:val="00A96932"/>
    <w:rsid w:val="00AA5F88"/>
    <w:rsid w:val="00AB1A80"/>
    <w:rsid w:val="00AD7F2A"/>
    <w:rsid w:val="00AE05A9"/>
    <w:rsid w:val="00B001A6"/>
    <w:rsid w:val="00B02702"/>
    <w:rsid w:val="00B2054C"/>
    <w:rsid w:val="00B30E62"/>
    <w:rsid w:val="00B556C6"/>
    <w:rsid w:val="00B66B63"/>
    <w:rsid w:val="00B723D5"/>
    <w:rsid w:val="00B82DF3"/>
    <w:rsid w:val="00B9776A"/>
    <w:rsid w:val="00BA0A0E"/>
    <w:rsid w:val="00BB1FAE"/>
    <w:rsid w:val="00BB2270"/>
    <w:rsid w:val="00BC1A7F"/>
    <w:rsid w:val="00BE59B9"/>
    <w:rsid w:val="00BF3038"/>
    <w:rsid w:val="00C16E99"/>
    <w:rsid w:val="00C424C0"/>
    <w:rsid w:val="00C513FA"/>
    <w:rsid w:val="00C56A2B"/>
    <w:rsid w:val="00C60EF3"/>
    <w:rsid w:val="00C72155"/>
    <w:rsid w:val="00C93C44"/>
    <w:rsid w:val="00C9678C"/>
    <w:rsid w:val="00CD6228"/>
    <w:rsid w:val="00D23727"/>
    <w:rsid w:val="00D24926"/>
    <w:rsid w:val="00D31EC9"/>
    <w:rsid w:val="00D33825"/>
    <w:rsid w:val="00D46D0D"/>
    <w:rsid w:val="00D74D1A"/>
    <w:rsid w:val="00D950CA"/>
    <w:rsid w:val="00D962FB"/>
    <w:rsid w:val="00DA1312"/>
    <w:rsid w:val="00DD5A66"/>
    <w:rsid w:val="00DD751A"/>
    <w:rsid w:val="00DE4078"/>
    <w:rsid w:val="00DF5B60"/>
    <w:rsid w:val="00DF6DC7"/>
    <w:rsid w:val="00E02E7A"/>
    <w:rsid w:val="00E040C8"/>
    <w:rsid w:val="00E22C41"/>
    <w:rsid w:val="00E417FC"/>
    <w:rsid w:val="00E50D9A"/>
    <w:rsid w:val="00E57E34"/>
    <w:rsid w:val="00E610ED"/>
    <w:rsid w:val="00E80F9A"/>
    <w:rsid w:val="00E92869"/>
    <w:rsid w:val="00EA585E"/>
    <w:rsid w:val="00ED0377"/>
    <w:rsid w:val="00ED4343"/>
    <w:rsid w:val="00EE07E6"/>
    <w:rsid w:val="00EF2580"/>
    <w:rsid w:val="00F26875"/>
    <w:rsid w:val="00F5433E"/>
    <w:rsid w:val="00F63530"/>
    <w:rsid w:val="00F757CC"/>
    <w:rsid w:val="00F868E9"/>
    <w:rsid w:val="00FA5C7E"/>
    <w:rsid w:val="00FA763D"/>
    <w:rsid w:val="00FB4C85"/>
    <w:rsid w:val="00FD56CD"/>
    <w:rsid w:val="00FF0926"/>
    <w:rsid w:val="00FF43B4"/>
    <w:rsid w:val="03152EB7"/>
    <w:rsid w:val="03396EA6"/>
    <w:rsid w:val="03B06E94"/>
    <w:rsid w:val="03BF139A"/>
    <w:rsid w:val="062A160A"/>
    <w:rsid w:val="06D91EE1"/>
    <w:rsid w:val="075A3D9F"/>
    <w:rsid w:val="081952E0"/>
    <w:rsid w:val="08A70165"/>
    <w:rsid w:val="092B326C"/>
    <w:rsid w:val="0D547EA9"/>
    <w:rsid w:val="0DEE5C90"/>
    <w:rsid w:val="127B4870"/>
    <w:rsid w:val="131F205D"/>
    <w:rsid w:val="15F91130"/>
    <w:rsid w:val="17F638D3"/>
    <w:rsid w:val="18764016"/>
    <w:rsid w:val="189F7F9D"/>
    <w:rsid w:val="19AE4E04"/>
    <w:rsid w:val="1B573E48"/>
    <w:rsid w:val="1D826131"/>
    <w:rsid w:val="1E3C152D"/>
    <w:rsid w:val="21122D4B"/>
    <w:rsid w:val="21422417"/>
    <w:rsid w:val="23053890"/>
    <w:rsid w:val="254A07FC"/>
    <w:rsid w:val="288570CA"/>
    <w:rsid w:val="28874052"/>
    <w:rsid w:val="297018FF"/>
    <w:rsid w:val="2CDB3460"/>
    <w:rsid w:val="2EA32D89"/>
    <w:rsid w:val="2F705DB5"/>
    <w:rsid w:val="31AA63D0"/>
    <w:rsid w:val="31E05BF4"/>
    <w:rsid w:val="340767BE"/>
    <w:rsid w:val="34D35FD0"/>
    <w:rsid w:val="34EE731F"/>
    <w:rsid w:val="35466388"/>
    <w:rsid w:val="369A5F12"/>
    <w:rsid w:val="36C947C2"/>
    <w:rsid w:val="392F7B23"/>
    <w:rsid w:val="3A857E29"/>
    <w:rsid w:val="3BE03A90"/>
    <w:rsid w:val="3C841A0F"/>
    <w:rsid w:val="3D35711E"/>
    <w:rsid w:val="3E175BBD"/>
    <w:rsid w:val="3EDC53E0"/>
    <w:rsid w:val="40020CAC"/>
    <w:rsid w:val="42971D24"/>
    <w:rsid w:val="43C5458A"/>
    <w:rsid w:val="471378EF"/>
    <w:rsid w:val="480D7BA4"/>
    <w:rsid w:val="48DC1B6C"/>
    <w:rsid w:val="492D0705"/>
    <w:rsid w:val="4AC61250"/>
    <w:rsid w:val="4D2D2171"/>
    <w:rsid w:val="4EAE4B8C"/>
    <w:rsid w:val="50506C6F"/>
    <w:rsid w:val="53470EF7"/>
    <w:rsid w:val="54610696"/>
    <w:rsid w:val="5687429D"/>
    <w:rsid w:val="584C6D1B"/>
    <w:rsid w:val="592543C5"/>
    <w:rsid w:val="599C3E72"/>
    <w:rsid w:val="5D0C3809"/>
    <w:rsid w:val="5D4F007F"/>
    <w:rsid w:val="5DFC798E"/>
    <w:rsid w:val="5EDA1B3E"/>
    <w:rsid w:val="5F7A49AE"/>
    <w:rsid w:val="603E2708"/>
    <w:rsid w:val="6317713B"/>
    <w:rsid w:val="633F4E7E"/>
    <w:rsid w:val="63EE6052"/>
    <w:rsid w:val="648431AF"/>
    <w:rsid w:val="64BB5EE8"/>
    <w:rsid w:val="650C2798"/>
    <w:rsid w:val="651435CA"/>
    <w:rsid w:val="66A77381"/>
    <w:rsid w:val="68335785"/>
    <w:rsid w:val="698F7C71"/>
    <w:rsid w:val="6C052BD6"/>
    <w:rsid w:val="6C3475DC"/>
    <w:rsid w:val="6EAE5E38"/>
    <w:rsid w:val="6ECD55D8"/>
    <w:rsid w:val="6EEA150A"/>
    <w:rsid w:val="722906FE"/>
    <w:rsid w:val="72804320"/>
    <w:rsid w:val="72A14B30"/>
    <w:rsid w:val="73CA5309"/>
    <w:rsid w:val="74E327A6"/>
    <w:rsid w:val="758D0140"/>
    <w:rsid w:val="770B084A"/>
    <w:rsid w:val="775918C8"/>
    <w:rsid w:val="79354421"/>
    <w:rsid w:val="79BC2D14"/>
    <w:rsid w:val="7AE95B78"/>
    <w:rsid w:val="7CD85FE1"/>
    <w:rsid w:val="7FAB4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rPr>
  </w:style>
  <w:style w:type="paragraph" w:styleId="3">
    <w:name w:val="heading 2"/>
    <w:basedOn w:val="1"/>
    <w:next w:val="1"/>
    <w:semiHidden/>
    <w:unhideWhenUsed/>
    <w:qFormat/>
    <w:uiPriority w:val="0"/>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next w:val="1"/>
    <w:semiHidden/>
    <w:unhideWhenUsed/>
    <w:qFormat/>
    <w:uiPriority w:val="0"/>
    <w:pPr>
      <w:keepNext/>
      <w:keepLines/>
      <w:numPr>
        <w:ilvl w:val="2"/>
        <w:numId w:val="1"/>
      </w:numPr>
      <w:spacing w:before="260" w:after="260" w:line="413" w:lineRule="auto"/>
      <w:outlineLvl w:val="2"/>
    </w:pPr>
    <w:rPr>
      <w:b/>
      <w:sz w:val="32"/>
    </w:rPr>
  </w:style>
  <w:style w:type="paragraph" w:styleId="5">
    <w:name w:val="heading 4"/>
    <w:basedOn w:val="1"/>
    <w:next w:val="1"/>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6"/>
    <w:qFormat/>
    <w:uiPriority w:val="0"/>
    <w:pPr>
      <w:jc w:val="left"/>
    </w:pPr>
  </w:style>
  <w:style w:type="paragraph" w:styleId="12">
    <w:name w:val="Balloon Text"/>
    <w:basedOn w:val="1"/>
    <w:link w:val="45"/>
    <w:semiHidden/>
    <w:unhideWhenUsed/>
    <w:qFormat/>
    <w:uiPriority w:val="0"/>
    <w:rPr>
      <w:sz w:val="18"/>
      <w:szCs w:val="18"/>
    </w:rPr>
  </w:style>
  <w:style w:type="paragraph" w:styleId="13">
    <w:name w:val="footer"/>
    <w:basedOn w:val="1"/>
    <w:link w:val="49"/>
    <w:qFormat/>
    <w:uiPriority w:val="99"/>
    <w:pPr>
      <w:tabs>
        <w:tab w:val="center" w:pos="4153"/>
        <w:tab w:val="right" w:pos="8306"/>
      </w:tabs>
      <w:snapToGrid w:val="0"/>
      <w:jc w:val="left"/>
    </w:pPr>
    <w:rPr>
      <w:sz w:val="18"/>
      <w:szCs w:val="18"/>
    </w:rPr>
  </w:style>
  <w:style w:type="paragraph" w:styleId="14">
    <w:name w:val="header"/>
    <w:basedOn w:val="1"/>
    <w:link w:val="48"/>
    <w:qFormat/>
    <w:uiPriority w:val="0"/>
    <w:pPr>
      <w:pBdr>
        <w:bottom w:val="single" w:color="auto" w:sz="6" w:space="1"/>
      </w:pBdr>
      <w:tabs>
        <w:tab w:val="center" w:pos="4153"/>
        <w:tab w:val="right" w:pos="8306"/>
      </w:tabs>
      <w:snapToGrid w:val="0"/>
      <w:jc w:val="center"/>
    </w:pPr>
    <w:rPr>
      <w:sz w:val="18"/>
      <w:szCs w:val="18"/>
    </w:rPr>
  </w:style>
  <w:style w:type="paragraph" w:styleId="15">
    <w:name w:val="annotation subject"/>
    <w:basedOn w:val="11"/>
    <w:next w:val="11"/>
    <w:link w:val="47"/>
    <w:semiHidden/>
    <w:unhideWhenUsed/>
    <w:qFormat/>
    <w:uiPriority w:val="0"/>
    <w:rPr>
      <w:b/>
      <w:bCs/>
    </w:rPr>
  </w:style>
  <w:style w:type="character" w:styleId="18">
    <w:name w:val="Hyperlink"/>
    <w:basedOn w:val="17"/>
    <w:qFormat/>
    <w:uiPriority w:val="0"/>
    <w:rPr>
      <w:color w:val="0000FF"/>
      <w:u w:val="single"/>
    </w:rPr>
  </w:style>
  <w:style w:type="character" w:styleId="19">
    <w:name w:val="annotation reference"/>
    <w:basedOn w:val="17"/>
    <w:qFormat/>
    <w:uiPriority w:val="0"/>
    <w:rPr>
      <w:sz w:val="21"/>
      <w:szCs w:val="21"/>
    </w:rPr>
  </w:style>
  <w:style w:type="character" w:customStyle="1" w:styleId="20">
    <w:name w:val="16"/>
    <w:basedOn w:val="17"/>
    <w:qFormat/>
    <w:uiPriority w:val="0"/>
    <w:rPr>
      <w:rFonts w:hint="default" w:ascii="Times New Roman" w:hAnsi="Times New Roman" w:cs="Times New Roman"/>
      <w:color w:val="0000FF"/>
      <w:sz w:val="20"/>
      <w:szCs w:val="20"/>
      <w:u w:val="single"/>
    </w:rPr>
  </w:style>
  <w:style w:type="paragraph" w:customStyle="1" w:styleId="21">
    <w:name w:val="p0"/>
    <w:basedOn w:val="1"/>
    <w:qFormat/>
    <w:uiPriority w:val="0"/>
    <w:pPr>
      <w:widowControl/>
    </w:pPr>
    <w:rPr>
      <w:rFonts w:ascii="Times New Roman" w:hAnsi="Times New Roman" w:eastAsia="宋体" w:cs="Times New Roman"/>
      <w:kern w:val="0"/>
      <w:szCs w:val="21"/>
    </w:rPr>
  </w:style>
  <w:style w:type="paragraph" w:customStyle="1" w:styleId="22">
    <w:name w:val="EndNote Bibliography"/>
    <w:basedOn w:val="1"/>
    <w:qFormat/>
    <w:uiPriority w:val="0"/>
    <w:rPr>
      <w:rFonts w:cs="Calibri"/>
      <w:sz w:val="20"/>
    </w:rPr>
  </w:style>
  <w:style w:type="paragraph" w:customStyle="1" w:styleId="23">
    <w:name w:val="tbx"/>
    <w:basedOn w:val="1"/>
    <w:link w:val="24"/>
    <w:qFormat/>
    <w:uiPriority w:val="0"/>
    <w:pPr>
      <w:spacing w:afterLines="50" w:line="288" w:lineRule="auto"/>
    </w:pPr>
    <w:rPr>
      <w:rFonts w:ascii="Times New Roman" w:hAnsi="Times New Roman" w:eastAsia="宋体" w:cs="Times New Roman"/>
      <w:b/>
      <w:sz w:val="24"/>
      <w:lang w:eastAsia="en-US" w:bidi="en-US"/>
    </w:rPr>
  </w:style>
  <w:style w:type="character" w:customStyle="1" w:styleId="24">
    <w:name w:val="tbx Char"/>
    <w:basedOn w:val="17"/>
    <w:link w:val="23"/>
    <w:qFormat/>
    <w:uiPriority w:val="0"/>
    <w:rPr>
      <w:b/>
      <w:kern w:val="2"/>
      <w:sz w:val="24"/>
      <w:szCs w:val="24"/>
      <w:lang w:eastAsia="en-US" w:bidi="en-US"/>
    </w:rPr>
  </w:style>
  <w:style w:type="paragraph" w:customStyle="1" w:styleId="25">
    <w:name w:val="fgx"/>
    <w:basedOn w:val="1"/>
    <w:link w:val="26"/>
    <w:qFormat/>
    <w:uiPriority w:val="0"/>
    <w:pPr>
      <w:spacing w:afterLines="50" w:line="288" w:lineRule="auto"/>
    </w:pPr>
    <w:rPr>
      <w:rFonts w:ascii="Times New Roman" w:hAnsi="Times New Roman" w:eastAsia="宋体" w:cs="Times New Roman"/>
      <w:b/>
      <w:sz w:val="24"/>
      <w:lang w:eastAsia="en-US" w:bidi="en-US"/>
    </w:rPr>
  </w:style>
  <w:style w:type="character" w:customStyle="1" w:styleId="26">
    <w:name w:val="fgx Char"/>
    <w:basedOn w:val="17"/>
    <w:link w:val="25"/>
    <w:qFormat/>
    <w:uiPriority w:val="0"/>
    <w:rPr>
      <w:b/>
      <w:kern w:val="2"/>
      <w:sz w:val="24"/>
      <w:szCs w:val="24"/>
      <w:lang w:eastAsia="en-US" w:bidi="en-US"/>
    </w:rPr>
  </w:style>
  <w:style w:type="paragraph" w:customStyle="1" w:styleId="27">
    <w:name w:val="bdt1"/>
    <w:basedOn w:val="1"/>
    <w:link w:val="28"/>
    <w:qFormat/>
    <w:uiPriority w:val="0"/>
    <w:pPr>
      <w:spacing w:afterLines="50" w:line="288" w:lineRule="auto"/>
      <w:outlineLvl w:val="0"/>
    </w:pPr>
    <w:rPr>
      <w:rFonts w:ascii="Times New Roman" w:hAnsi="Times New Roman" w:eastAsia="宋体" w:cs="Times New Roman"/>
      <w:b/>
      <w:sz w:val="28"/>
      <w:lang w:eastAsia="en-US" w:bidi="en-US"/>
    </w:rPr>
  </w:style>
  <w:style w:type="character" w:customStyle="1" w:styleId="28">
    <w:name w:val="bdt1 Char"/>
    <w:basedOn w:val="17"/>
    <w:link w:val="27"/>
    <w:qFormat/>
    <w:uiPriority w:val="0"/>
    <w:rPr>
      <w:b/>
      <w:kern w:val="2"/>
      <w:sz w:val="28"/>
      <w:szCs w:val="24"/>
      <w:lang w:eastAsia="en-US" w:bidi="en-US"/>
    </w:rPr>
  </w:style>
  <w:style w:type="paragraph" w:customStyle="1" w:styleId="29">
    <w:name w:val="bdt2"/>
    <w:basedOn w:val="1"/>
    <w:link w:val="30"/>
    <w:qFormat/>
    <w:uiPriority w:val="0"/>
    <w:pPr>
      <w:spacing w:afterLines="50" w:line="288" w:lineRule="auto"/>
      <w:outlineLvl w:val="1"/>
    </w:pPr>
    <w:rPr>
      <w:rFonts w:ascii="Times New Roman" w:hAnsi="Times New Roman" w:eastAsia="宋体" w:cs="Times New Roman"/>
      <w:b/>
      <w:sz w:val="24"/>
      <w:lang w:eastAsia="en-US" w:bidi="en-US"/>
    </w:rPr>
  </w:style>
  <w:style w:type="character" w:customStyle="1" w:styleId="30">
    <w:name w:val="bdt2 Char"/>
    <w:basedOn w:val="17"/>
    <w:link w:val="29"/>
    <w:qFormat/>
    <w:uiPriority w:val="0"/>
    <w:rPr>
      <w:b/>
      <w:kern w:val="2"/>
      <w:sz w:val="24"/>
      <w:szCs w:val="24"/>
      <w:lang w:eastAsia="en-US" w:bidi="en-US"/>
    </w:rPr>
  </w:style>
  <w:style w:type="paragraph" w:customStyle="1" w:styleId="31">
    <w:name w:val="bdt3"/>
    <w:basedOn w:val="1"/>
    <w:link w:val="32"/>
    <w:qFormat/>
    <w:uiPriority w:val="0"/>
    <w:pPr>
      <w:spacing w:afterLines="50" w:line="288" w:lineRule="auto"/>
      <w:outlineLvl w:val="2"/>
    </w:pPr>
    <w:rPr>
      <w:rFonts w:ascii="Times New Roman" w:hAnsi="Times New Roman" w:eastAsia="宋体" w:cs="Times New Roman"/>
      <w:b/>
      <w:sz w:val="24"/>
      <w:lang w:eastAsia="en-US" w:bidi="en-US"/>
    </w:rPr>
  </w:style>
  <w:style w:type="character" w:customStyle="1" w:styleId="32">
    <w:name w:val="bdt3 Char"/>
    <w:basedOn w:val="17"/>
    <w:link w:val="31"/>
    <w:qFormat/>
    <w:uiPriority w:val="0"/>
    <w:rPr>
      <w:b/>
      <w:kern w:val="2"/>
      <w:sz w:val="24"/>
      <w:szCs w:val="24"/>
      <w:lang w:eastAsia="en-US" w:bidi="en-US"/>
    </w:rPr>
  </w:style>
  <w:style w:type="paragraph" w:customStyle="1" w:styleId="33">
    <w:name w:val="bdt4"/>
    <w:basedOn w:val="1"/>
    <w:link w:val="34"/>
    <w:qFormat/>
    <w:uiPriority w:val="0"/>
    <w:pPr>
      <w:spacing w:afterLines="50" w:line="288" w:lineRule="auto"/>
      <w:outlineLvl w:val="3"/>
    </w:pPr>
    <w:rPr>
      <w:rFonts w:ascii="Times New Roman" w:hAnsi="Times New Roman" w:eastAsia="宋体" w:cs="Times New Roman"/>
      <w:b/>
      <w:sz w:val="24"/>
      <w:lang w:eastAsia="en-US" w:bidi="en-US"/>
    </w:rPr>
  </w:style>
  <w:style w:type="character" w:customStyle="1" w:styleId="34">
    <w:name w:val="bdt4 Char"/>
    <w:basedOn w:val="17"/>
    <w:link w:val="33"/>
    <w:qFormat/>
    <w:uiPriority w:val="0"/>
    <w:rPr>
      <w:b/>
      <w:kern w:val="2"/>
      <w:sz w:val="24"/>
      <w:szCs w:val="24"/>
      <w:lang w:eastAsia="en-US" w:bidi="en-US"/>
    </w:rPr>
  </w:style>
  <w:style w:type="paragraph" w:customStyle="1" w:styleId="35">
    <w:name w:val="tt0"/>
    <w:basedOn w:val="1"/>
    <w:link w:val="36"/>
    <w:qFormat/>
    <w:uiPriority w:val="0"/>
    <w:pPr>
      <w:spacing w:afterLines="50" w:line="288" w:lineRule="auto"/>
      <w:jc w:val="center"/>
    </w:pPr>
    <w:rPr>
      <w:rFonts w:ascii="Times New Roman" w:hAnsi="Times New Roman" w:eastAsia="宋体" w:cs="Times New Roman"/>
      <w:b/>
      <w:sz w:val="28"/>
      <w:lang w:eastAsia="en-US" w:bidi="en-US"/>
    </w:rPr>
  </w:style>
  <w:style w:type="character" w:customStyle="1" w:styleId="36">
    <w:name w:val="tt0 Char"/>
    <w:basedOn w:val="17"/>
    <w:link w:val="35"/>
    <w:qFormat/>
    <w:uiPriority w:val="0"/>
    <w:rPr>
      <w:b/>
      <w:kern w:val="2"/>
      <w:sz w:val="28"/>
      <w:szCs w:val="24"/>
      <w:lang w:eastAsia="en-US" w:bidi="en-US"/>
    </w:rPr>
  </w:style>
  <w:style w:type="paragraph" w:customStyle="1" w:styleId="37">
    <w:name w:val="entxt"/>
    <w:basedOn w:val="1"/>
    <w:link w:val="38"/>
    <w:qFormat/>
    <w:uiPriority w:val="0"/>
    <w:pPr>
      <w:spacing w:afterLines="50" w:line="288" w:lineRule="auto"/>
    </w:pPr>
    <w:rPr>
      <w:rFonts w:ascii="Times New Roman" w:hAnsi="Times New Roman" w:eastAsia="宋体" w:cs="Times New Roman"/>
      <w:sz w:val="24"/>
      <w:lang w:eastAsia="en-US" w:bidi="en-US"/>
    </w:rPr>
  </w:style>
  <w:style w:type="character" w:customStyle="1" w:styleId="38">
    <w:name w:val="entxt Char"/>
    <w:basedOn w:val="17"/>
    <w:link w:val="37"/>
    <w:qFormat/>
    <w:uiPriority w:val="0"/>
    <w:rPr>
      <w:kern w:val="2"/>
      <w:sz w:val="24"/>
      <w:szCs w:val="24"/>
      <w:lang w:eastAsia="en-US" w:bidi="en-US"/>
    </w:rPr>
  </w:style>
  <w:style w:type="paragraph" w:customStyle="1" w:styleId="39">
    <w:name w:val="chtxt"/>
    <w:basedOn w:val="1"/>
    <w:link w:val="40"/>
    <w:qFormat/>
    <w:uiPriority w:val="0"/>
    <w:pPr>
      <w:spacing w:afterLines="50" w:line="288" w:lineRule="auto"/>
      <w:ind w:firstLine="200" w:firstLineChars="200"/>
    </w:pPr>
    <w:rPr>
      <w:rFonts w:ascii="Times New Roman" w:hAnsi="Times New Roman" w:eastAsia="宋体" w:cs="Times New Roman"/>
      <w:sz w:val="24"/>
      <w:lang w:eastAsia="en-US" w:bidi="en-US"/>
    </w:rPr>
  </w:style>
  <w:style w:type="character" w:customStyle="1" w:styleId="40">
    <w:name w:val="chtxt Char"/>
    <w:basedOn w:val="17"/>
    <w:link w:val="39"/>
    <w:qFormat/>
    <w:uiPriority w:val="0"/>
    <w:rPr>
      <w:kern w:val="2"/>
      <w:sz w:val="24"/>
      <w:szCs w:val="24"/>
      <w:lang w:eastAsia="en-US" w:bidi="en-US"/>
    </w:rPr>
  </w:style>
  <w:style w:type="paragraph" w:customStyle="1" w:styleId="41">
    <w:name w:val="notes"/>
    <w:basedOn w:val="1"/>
    <w:link w:val="42"/>
    <w:qFormat/>
    <w:uiPriority w:val="0"/>
    <w:pPr>
      <w:spacing w:afterLines="50"/>
    </w:pPr>
    <w:rPr>
      <w:rFonts w:ascii="Times New Roman" w:hAnsi="Times New Roman" w:eastAsia="宋体" w:cs="Times New Roman"/>
      <w:sz w:val="18"/>
      <w:lang w:eastAsia="en-US" w:bidi="en-US"/>
    </w:rPr>
  </w:style>
  <w:style w:type="character" w:customStyle="1" w:styleId="42">
    <w:name w:val="notes Char"/>
    <w:basedOn w:val="17"/>
    <w:link w:val="41"/>
    <w:qFormat/>
    <w:uiPriority w:val="0"/>
    <w:rPr>
      <w:kern w:val="2"/>
      <w:sz w:val="18"/>
      <w:szCs w:val="24"/>
      <w:lang w:eastAsia="en-US" w:bidi="en-US"/>
    </w:rPr>
  </w:style>
  <w:style w:type="paragraph" w:customStyle="1" w:styleId="43">
    <w:name w:val="tbltxt"/>
    <w:basedOn w:val="1"/>
    <w:link w:val="44"/>
    <w:qFormat/>
    <w:uiPriority w:val="0"/>
    <w:pPr>
      <w:spacing w:afterLines="50"/>
      <w:jc w:val="center"/>
    </w:pPr>
    <w:rPr>
      <w:rFonts w:ascii="Times New Roman" w:hAnsi="Times New Roman" w:eastAsia="宋体" w:cs="Times New Roman"/>
      <w:lang w:eastAsia="en-US" w:bidi="en-US"/>
    </w:rPr>
  </w:style>
  <w:style w:type="character" w:customStyle="1" w:styleId="44">
    <w:name w:val="tbltxt Char"/>
    <w:basedOn w:val="17"/>
    <w:link w:val="43"/>
    <w:qFormat/>
    <w:uiPriority w:val="0"/>
    <w:rPr>
      <w:kern w:val="2"/>
      <w:sz w:val="21"/>
      <w:szCs w:val="24"/>
      <w:lang w:eastAsia="en-US" w:bidi="en-US"/>
    </w:rPr>
  </w:style>
  <w:style w:type="character" w:customStyle="1" w:styleId="45">
    <w:name w:val="批注框文本 Char"/>
    <w:basedOn w:val="17"/>
    <w:link w:val="12"/>
    <w:semiHidden/>
    <w:qFormat/>
    <w:uiPriority w:val="0"/>
    <w:rPr>
      <w:rFonts w:asciiTheme="minorHAnsi" w:hAnsiTheme="minorHAnsi" w:eastAsiaTheme="minorEastAsia" w:cstheme="minorBidi"/>
      <w:kern w:val="2"/>
      <w:sz w:val="18"/>
      <w:szCs w:val="18"/>
    </w:rPr>
  </w:style>
  <w:style w:type="character" w:customStyle="1" w:styleId="46">
    <w:name w:val="批注文字 Char"/>
    <w:basedOn w:val="17"/>
    <w:link w:val="11"/>
    <w:qFormat/>
    <w:uiPriority w:val="0"/>
    <w:rPr>
      <w:rFonts w:asciiTheme="minorHAnsi" w:hAnsiTheme="minorHAnsi" w:eastAsiaTheme="minorEastAsia" w:cstheme="minorBidi"/>
      <w:kern w:val="2"/>
      <w:sz w:val="21"/>
      <w:szCs w:val="24"/>
    </w:rPr>
  </w:style>
  <w:style w:type="character" w:customStyle="1" w:styleId="47">
    <w:name w:val="批注主题 Char"/>
    <w:basedOn w:val="46"/>
    <w:link w:val="15"/>
    <w:semiHidden/>
    <w:qFormat/>
    <w:uiPriority w:val="0"/>
    <w:rPr>
      <w:rFonts w:asciiTheme="minorHAnsi" w:hAnsiTheme="minorHAnsi" w:eastAsiaTheme="minorEastAsia" w:cstheme="minorBidi"/>
      <w:b/>
      <w:bCs/>
      <w:kern w:val="2"/>
      <w:sz w:val="21"/>
      <w:szCs w:val="24"/>
    </w:rPr>
  </w:style>
  <w:style w:type="character" w:customStyle="1" w:styleId="48">
    <w:name w:val="页眉 Char"/>
    <w:basedOn w:val="17"/>
    <w:link w:val="14"/>
    <w:qFormat/>
    <w:uiPriority w:val="0"/>
    <w:rPr>
      <w:rFonts w:asciiTheme="minorHAnsi" w:hAnsiTheme="minorHAnsi" w:eastAsiaTheme="minorEastAsia" w:cstheme="minorBidi"/>
      <w:kern w:val="2"/>
      <w:sz w:val="18"/>
      <w:szCs w:val="18"/>
    </w:rPr>
  </w:style>
  <w:style w:type="character" w:customStyle="1" w:styleId="49">
    <w:name w:val="页脚 Char"/>
    <w:basedOn w:val="17"/>
    <w:link w:val="13"/>
    <w:qFormat/>
    <w:uiPriority w:val="99"/>
    <w:rPr>
      <w:rFonts w:asciiTheme="minorHAnsi" w:hAnsiTheme="minorHAnsi" w:eastAsiaTheme="minorEastAsia" w:cstheme="minorBidi"/>
      <w:kern w:val="2"/>
      <w:sz w:val="18"/>
      <w:szCs w:val="18"/>
    </w:rPr>
  </w:style>
  <w:style w:type="paragraph" w:customStyle="1" w:styleId="50">
    <w:name w:val="修订1"/>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360xt.cn</Company>
  <Pages>13</Pages>
  <Words>5483</Words>
  <Characters>31259</Characters>
  <Lines>260</Lines>
  <Paragraphs>73</Paragraphs>
  <TotalTime>22</TotalTime>
  <ScaleCrop>false</ScaleCrop>
  <LinksUpToDate>false</LinksUpToDate>
  <CharactersWithSpaces>36669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2019-11-08T06:37:00Z</dcterms:created>
  <dc:creator>piu</dc:creator>
  <cp:lastModifiedBy>ZXS</cp:lastModifiedBy>
  <dcterms:modified xsi:type="dcterms:W3CDTF">2021-10-24T01:19:14Z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5C88D1B809064569AFEAA0F00701A0E7</vt:lpwstr>
  </property>
</Properties>
</file>